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jc w:val="center"/>
        <w:textAlignment w:val="baseline"/>
        <w:rPr>
          <w:rFonts w:hint="eastAsia" w:ascii="微软雅黑" w:hAnsi="微软雅黑" w:eastAsia="微软雅黑" w:cs="微软雅黑"/>
          <w:b/>
          <w:i w:val="0"/>
          <w:caps w:val="0"/>
          <w:color w:val="69350C"/>
          <w:spacing w:val="0"/>
          <w:sz w:val="24"/>
          <w:szCs w:val="24"/>
        </w:rPr>
      </w:pPr>
      <w:r>
        <w:rPr>
          <w:rFonts w:hint="eastAsia" w:ascii="微软雅黑" w:hAnsi="微软雅黑" w:eastAsia="微软雅黑" w:cs="微软雅黑"/>
          <w:b/>
          <w:i w:val="0"/>
          <w:caps w:val="0"/>
          <w:color w:val="69350C"/>
          <w:spacing w:val="0"/>
          <w:kern w:val="0"/>
          <w:sz w:val="24"/>
          <w:szCs w:val="24"/>
          <w:bdr w:val="none" w:color="auto" w:sz="0" w:space="0"/>
          <w:vertAlign w:val="baseline"/>
          <w:lang w:val="en-US" w:eastAsia="zh-CN" w:bidi="ar"/>
        </w:rPr>
        <w:t>福建农林大学交通与土木工程学院 2023年招收攻读硕士学位研究生调剂计划</w:t>
      </w:r>
    </w:p>
    <w:p>
      <w:pPr>
        <w:keepNext w:val="0"/>
        <w:keepLines w:val="0"/>
        <w:widowControl/>
        <w:suppressLineNumbers w:val="0"/>
        <w:pBdr>
          <w:top w:val="none" w:color="auto" w:sz="0" w:space="0"/>
          <w:left w:val="none" w:color="auto" w:sz="0" w:space="0"/>
          <w:bottom w:val="single" w:color="DDDDDD" w:sz="4" w:space="0"/>
          <w:right w:val="none" w:color="auto" w:sz="0" w:space="0"/>
        </w:pBdr>
        <w:spacing w:before="0" w:beforeAutospacing="0" w:after="0" w:afterAutospacing="0" w:line="240" w:lineRule="atLeast"/>
        <w:ind w:left="0" w:right="0" w:firstLine="0"/>
        <w:jc w:val="center"/>
        <w:textAlignment w:val="baseline"/>
        <w:rPr>
          <w:rFonts w:hint="eastAsia" w:ascii="微软雅黑" w:hAnsi="微软雅黑" w:eastAsia="微软雅黑" w:cs="微软雅黑"/>
          <w:i w:val="0"/>
          <w:caps w:val="0"/>
          <w:color w:val="333333"/>
          <w:spacing w:val="0"/>
          <w:sz w:val="14"/>
          <w:szCs w:val="14"/>
        </w:rPr>
      </w:pPr>
      <w:r>
        <w:rPr>
          <w:rFonts w:hint="eastAsia" w:ascii="微软雅黑" w:hAnsi="微软雅黑" w:eastAsia="微软雅黑" w:cs="微软雅黑"/>
          <w:i w:val="0"/>
          <w:caps w:val="0"/>
          <w:color w:val="333333"/>
          <w:spacing w:val="0"/>
          <w:kern w:val="0"/>
          <w:sz w:val="14"/>
          <w:szCs w:val="14"/>
          <w:bdr w:val="none" w:color="auto" w:sz="0" w:space="0"/>
          <w:vertAlign w:val="baseline"/>
          <w:lang w:val="en-US" w:eastAsia="zh-CN" w:bidi="ar"/>
        </w:rPr>
        <w:t>发布时间 ：2023-04-04 信息员：文/朱志敏 浏览次数：</w:t>
      </w:r>
      <w:r>
        <w:rPr>
          <w:rFonts w:hint="eastAsia" w:ascii="微软雅黑" w:hAnsi="微软雅黑" w:eastAsia="微软雅黑" w:cs="微软雅黑"/>
          <w:b w:val="0"/>
          <w:i w:val="0"/>
          <w:caps w:val="0"/>
          <w:color w:val="333333"/>
          <w:spacing w:val="0"/>
          <w:kern w:val="0"/>
          <w:sz w:val="14"/>
          <w:szCs w:val="14"/>
          <w:bdr w:val="none" w:color="auto" w:sz="0" w:space="0"/>
          <w:vertAlign w:val="baseline"/>
          <w:lang w:val="en-US" w:eastAsia="zh-CN" w:bidi="ar"/>
        </w:rPr>
        <w:t>2003</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50" w:lineRule="atLeast"/>
        <w:ind w:left="0" w:right="0"/>
        <w:jc w:val="left"/>
        <w:textAlignment w:val="baseline"/>
        <w:rPr>
          <w:b w:val="0"/>
        </w:rPr>
      </w:pPr>
      <w:r>
        <w:rPr>
          <w:rFonts w:hint="eastAsia" w:ascii="宋体" w:hAnsi="宋体" w:eastAsia="宋体" w:cs="宋体"/>
          <w:b w:val="0"/>
          <w:i w:val="0"/>
          <w:caps w:val="0"/>
          <w:color w:val="333333"/>
          <w:spacing w:val="0"/>
          <w:kern w:val="0"/>
          <w:sz w:val="20"/>
          <w:szCs w:val="20"/>
          <w:bdr w:val="none" w:color="auto" w:sz="0" w:space="0"/>
          <w:shd w:val="clear" w:fill="FFFFFF"/>
          <w:vertAlign w:val="baseline"/>
          <w:lang w:val="en-US" w:eastAsia="zh-CN" w:bidi="ar"/>
        </w:rPr>
        <w:t>一、</w:t>
      </w:r>
      <w:r>
        <w:rPr>
          <w:rStyle w:val="4"/>
          <w:rFonts w:hint="eastAsia" w:ascii="宋体" w:hAnsi="宋体" w:eastAsia="宋体" w:cs="宋体"/>
          <w:b w:val="0"/>
          <w:i w:val="0"/>
          <w:caps w:val="0"/>
          <w:color w:val="333333"/>
          <w:spacing w:val="0"/>
          <w:kern w:val="0"/>
          <w:sz w:val="20"/>
          <w:szCs w:val="20"/>
          <w:bdr w:val="none" w:color="auto" w:sz="0" w:space="0"/>
          <w:shd w:val="clear" w:fill="FFFFFF"/>
          <w:vertAlign w:val="baseline"/>
          <w:lang w:val="en-US" w:eastAsia="zh-CN" w:bidi="ar"/>
        </w:rPr>
        <w:t>复试基本分数线划定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0" w:lineRule="atLeast"/>
        <w:ind w:left="0" w:right="0" w:firstLine="370"/>
        <w:jc w:val="left"/>
        <w:textAlignment w:val="baseline"/>
        <w:rPr>
          <w:b w:val="0"/>
        </w:rPr>
      </w:pPr>
      <w:r>
        <w:rPr>
          <w:rFonts w:hint="eastAsia" w:ascii="宋体" w:hAnsi="宋体" w:eastAsia="宋体" w:cs="宋体"/>
          <w:b w:val="0"/>
          <w:i w:val="0"/>
          <w:caps w:val="0"/>
          <w:color w:val="333333"/>
          <w:spacing w:val="0"/>
          <w:kern w:val="0"/>
          <w:sz w:val="20"/>
          <w:szCs w:val="20"/>
          <w:bdr w:val="none" w:color="auto" w:sz="0" w:space="0"/>
          <w:shd w:val="clear" w:fill="FFFFFF"/>
          <w:vertAlign w:val="baseline"/>
          <w:lang w:val="en-US" w:eastAsia="zh-CN" w:bidi="ar"/>
        </w:rPr>
        <w:t>报考我院森林工程和交通运输工程学术型硕士调剂生的复试基本分数线按照国家线（A类）划定。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0" w:lineRule="atLeast"/>
        <w:ind w:left="0" w:right="0"/>
        <w:jc w:val="left"/>
        <w:textAlignment w:val="baseline"/>
        <w:rPr>
          <w:b w:val="0"/>
        </w:rPr>
      </w:pPr>
      <w:r>
        <w:rPr>
          <w:rStyle w:val="4"/>
          <w:rFonts w:hint="eastAsia" w:ascii="宋体" w:hAnsi="宋体" w:eastAsia="宋体" w:cs="宋体"/>
          <w:b w:val="0"/>
          <w:i w:val="0"/>
          <w:caps w:val="0"/>
          <w:color w:val="333333"/>
          <w:spacing w:val="0"/>
          <w:kern w:val="0"/>
          <w:sz w:val="20"/>
          <w:szCs w:val="20"/>
          <w:bdr w:val="none" w:color="auto" w:sz="0" w:space="0"/>
          <w:shd w:val="clear" w:fill="FFFFFF"/>
          <w:vertAlign w:val="baseline"/>
          <w:lang w:val="en-US" w:eastAsia="zh-CN" w:bidi="ar"/>
        </w:rPr>
        <w:t>二、招生计划和复试比例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50" w:lineRule="atLeast"/>
        <w:ind w:left="0" w:right="0" w:firstLine="370"/>
        <w:jc w:val="left"/>
        <w:textAlignment w:val="baseline"/>
        <w:rPr>
          <w:b w:val="0"/>
        </w:rPr>
      </w:pPr>
      <w:r>
        <w:rPr>
          <w:rFonts w:hint="eastAsia" w:ascii="宋体" w:hAnsi="宋体" w:eastAsia="宋体" w:cs="宋体"/>
          <w:b w:val="0"/>
          <w:i w:val="0"/>
          <w:caps w:val="0"/>
          <w:color w:val="333333"/>
          <w:spacing w:val="0"/>
          <w:kern w:val="0"/>
          <w:sz w:val="20"/>
          <w:szCs w:val="20"/>
          <w:bdr w:val="none" w:color="auto" w:sz="0" w:space="0"/>
          <w:shd w:val="clear" w:fill="FFFFFF"/>
          <w:vertAlign w:val="baseline"/>
          <w:lang w:val="en-US" w:eastAsia="zh-CN" w:bidi="ar"/>
        </w:rPr>
        <w:t>1. 各学科或专业各研究方向的招生计划数如下：</w:t>
      </w:r>
    </w:p>
    <w:tbl>
      <w:tblPr>
        <w:tblW w:w="499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744"/>
        <w:gridCol w:w="2838"/>
        <w:gridCol w:w="1177"/>
        <w:gridCol w:w="1342"/>
        <w:gridCol w:w="12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70" w:hRule="atLeast"/>
        </w:trPr>
        <w:tc>
          <w:tcPr>
            <w:tcW w:w="1049" w:type="pct"/>
            <w:tcBorders>
              <w:top w:val="single" w:color="000000" w:sz="4" w:space="0"/>
              <w:left w:val="single" w:color="000000" w:sz="4" w:space="0"/>
              <w:bottom w:val="single" w:color="000000" w:sz="4" w:space="0"/>
              <w:right w:val="single" w:color="000000" w:sz="4"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b w:val="0"/>
              </w:rPr>
            </w:pPr>
            <w:r>
              <w:rPr>
                <w:rStyle w:val="4"/>
                <w:rFonts w:hint="eastAsia" w:ascii="宋体" w:hAnsi="宋体" w:eastAsia="宋体" w:cs="宋体"/>
                <w:b w:val="0"/>
                <w:kern w:val="0"/>
                <w:sz w:val="20"/>
                <w:szCs w:val="20"/>
                <w:bdr w:val="none" w:color="auto" w:sz="0" w:space="0"/>
                <w:vertAlign w:val="baseline"/>
                <w:lang w:val="en-US" w:eastAsia="zh-CN" w:bidi="ar"/>
              </w:rPr>
              <w:t>专业</w:t>
            </w:r>
          </w:p>
        </w:tc>
        <w:tc>
          <w:tcPr>
            <w:tcW w:w="1707" w:type="pct"/>
            <w:tcBorders>
              <w:top w:val="single" w:color="000000" w:sz="4" w:space="0"/>
              <w:left w:val="nil"/>
              <w:bottom w:val="single" w:color="000000" w:sz="4" w:space="0"/>
              <w:right w:val="single" w:color="000000" w:sz="4"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b w:val="0"/>
              </w:rPr>
            </w:pPr>
            <w:r>
              <w:rPr>
                <w:rStyle w:val="4"/>
                <w:rFonts w:hint="eastAsia" w:ascii="宋体" w:hAnsi="宋体" w:eastAsia="宋体" w:cs="宋体"/>
                <w:b w:val="0"/>
                <w:kern w:val="0"/>
                <w:sz w:val="20"/>
                <w:szCs w:val="20"/>
                <w:bdr w:val="none" w:color="auto" w:sz="0" w:space="0"/>
                <w:vertAlign w:val="baseline"/>
                <w:lang w:val="en-US" w:eastAsia="zh-CN" w:bidi="ar"/>
              </w:rPr>
              <w:t>研究方向</w:t>
            </w:r>
          </w:p>
        </w:tc>
        <w:tc>
          <w:tcPr>
            <w:tcW w:w="707" w:type="pct"/>
            <w:tcBorders>
              <w:top w:val="single" w:color="000000" w:sz="4" w:space="0"/>
              <w:left w:val="nil"/>
              <w:bottom w:val="single" w:color="000000" w:sz="4" w:space="0"/>
              <w:right w:val="single" w:color="000000" w:sz="4"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b w:val="0"/>
              </w:rPr>
            </w:pPr>
            <w:r>
              <w:rPr>
                <w:rStyle w:val="4"/>
                <w:rFonts w:hint="eastAsia" w:ascii="宋体" w:hAnsi="宋体" w:eastAsia="宋体" w:cs="宋体"/>
                <w:b w:val="0"/>
                <w:kern w:val="0"/>
                <w:sz w:val="20"/>
                <w:szCs w:val="20"/>
                <w:bdr w:val="none" w:color="auto" w:sz="0" w:space="0"/>
                <w:vertAlign w:val="baseline"/>
                <w:lang w:val="en-US" w:eastAsia="zh-CN" w:bidi="ar"/>
              </w:rPr>
              <w:t>类型</w:t>
            </w:r>
          </w:p>
        </w:tc>
        <w:tc>
          <w:tcPr>
            <w:tcW w:w="807" w:type="pct"/>
            <w:tcBorders>
              <w:top w:val="single" w:color="000000" w:sz="4" w:space="0"/>
              <w:left w:val="nil"/>
              <w:bottom w:val="single" w:color="000000" w:sz="4" w:space="0"/>
              <w:right w:val="single" w:color="000000" w:sz="4"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b w:val="0"/>
              </w:rPr>
            </w:pPr>
            <w:r>
              <w:rPr>
                <w:rStyle w:val="4"/>
                <w:rFonts w:hint="eastAsia" w:ascii="宋体" w:hAnsi="宋体" w:eastAsia="宋体" w:cs="宋体"/>
                <w:b w:val="0"/>
                <w:kern w:val="0"/>
                <w:sz w:val="20"/>
                <w:szCs w:val="20"/>
                <w:bdr w:val="none" w:color="auto" w:sz="0" w:space="0"/>
                <w:vertAlign w:val="baseline"/>
                <w:lang w:val="en-US" w:eastAsia="zh-CN" w:bidi="ar"/>
              </w:rPr>
              <w:t>调剂计划数</w:t>
            </w:r>
          </w:p>
        </w:tc>
        <w:tc>
          <w:tcPr>
            <w:tcW w:w="728" w:type="pct"/>
            <w:tcBorders>
              <w:top w:val="single" w:color="000000" w:sz="4" w:space="0"/>
              <w:left w:val="nil"/>
              <w:bottom w:val="single" w:color="000000" w:sz="4" w:space="0"/>
              <w:right w:val="single" w:color="000000" w:sz="4"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b w:val="0"/>
              </w:rPr>
            </w:pPr>
            <w:r>
              <w:rPr>
                <w:rStyle w:val="4"/>
                <w:rFonts w:hint="eastAsia" w:ascii="宋体" w:hAnsi="宋体" w:eastAsia="宋体" w:cs="宋体"/>
                <w:b w:val="0"/>
                <w:kern w:val="0"/>
                <w:sz w:val="20"/>
                <w:szCs w:val="20"/>
                <w:bdr w:val="none" w:color="auto" w:sz="0" w:space="0"/>
                <w:vertAlign w:val="baseli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70" w:hRule="atLeast"/>
        </w:trPr>
        <w:tc>
          <w:tcPr>
            <w:tcW w:w="1049" w:type="pct"/>
            <w:tcBorders>
              <w:top w:val="nil"/>
              <w:left w:val="single" w:color="000000" w:sz="4" w:space="0"/>
              <w:bottom w:val="single" w:color="000000" w:sz="4" w:space="0"/>
              <w:right w:val="single" w:color="000000" w:sz="4"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b w:val="0"/>
              </w:rPr>
            </w:pPr>
            <w:bookmarkStart w:id="0" w:name="_Hlk67767889"/>
            <w:r>
              <w:rPr>
                <w:rFonts w:hint="eastAsia" w:ascii="宋体" w:hAnsi="宋体" w:eastAsia="宋体" w:cs="宋体"/>
                <w:b w:val="0"/>
                <w:color w:val="0000FF"/>
                <w:kern w:val="0"/>
                <w:sz w:val="20"/>
                <w:szCs w:val="20"/>
                <w:u w:val="none"/>
                <w:bdr w:val="none" w:color="auto" w:sz="0" w:space="0"/>
                <w:vertAlign w:val="baseline"/>
                <w:lang w:val="en-US" w:eastAsia="zh-CN" w:bidi="ar"/>
              </w:rPr>
              <w:t>082901森林工程</w:t>
            </w:r>
            <w:bookmarkEnd w:id="0"/>
          </w:p>
        </w:tc>
        <w:tc>
          <w:tcPr>
            <w:tcW w:w="1707" w:type="pct"/>
            <w:tcBorders>
              <w:top w:val="nil"/>
              <w:left w:val="nil"/>
              <w:bottom w:val="single" w:color="000000" w:sz="4" w:space="0"/>
              <w:right w:val="single" w:color="000000" w:sz="4"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b w:val="0"/>
              </w:rPr>
            </w:pPr>
            <w:r>
              <w:rPr>
                <w:rFonts w:hint="eastAsia" w:ascii="宋体" w:hAnsi="宋体" w:eastAsia="宋体" w:cs="宋体"/>
                <w:b w:val="0"/>
                <w:kern w:val="0"/>
                <w:sz w:val="20"/>
                <w:szCs w:val="20"/>
                <w:bdr w:val="none" w:color="auto" w:sz="0" w:space="0"/>
                <w:vertAlign w:val="baseline"/>
                <w:lang w:val="en-US" w:eastAsia="zh-CN" w:bidi="ar"/>
              </w:rPr>
              <w:t>不分方向</w:t>
            </w:r>
          </w:p>
        </w:tc>
        <w:tc>
          <w:tcPr>
            <w:tcW w:w="707" w:type="pct"/>
            <w:tcBorders>
              <w:top w:val="nil"/>
              <w:left w:val="nil"/>
              <w:bottom w:val="single" w:color="000000" w:sz="4" w:space="0"/>
              <w:right w:val="single" w:color="000000" w:sz="4"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b w:val="0"/>
              </w:rPr>
            </w:pPr>
            <w:r>
              <w:rPr>
                <w:rFonts w:hint="eastAsia" w:ascii="宋体" w:hAnsi="宋体" w:eastAsia="宋体" w:cs="宋体"/>
                <w:b w:val="0"/>
                <w:kern w:val="0"/>
                <w:sz w:val="20"/>
                <w:szCs w:val="20"/>
                <w:bdr w:val="none" w:color="auto" w:sz="0" w:space="0"/>
                <w:vertAlign w:val="baseline"/>
                <w:lang w:val="en-US" w:eastAsia="zh-CN" w:bidi="ar"/>
              </w:rPr>
              <w:t>全日制学术型</w:t>
            </w:r>
          </w:p>
        </w:tc>
        <w:tc>
          <w:tcPr>
            <w:tcW w:w="807" w:type="pct"/>
            <w:tcBorders>
              <w:top w:val="nil"/>
              <w:left w:val="nil"/>
              <w:bottom w:val="single" w:color="000000" w:sz="4" w:space="0"/>
              <w:right w:val="single" w:color="000000" w:sz="4"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b w:val="0"/>
              </w:rPr>
            </w:pPr>
            <w:r>
              <w:rPr>
                <w:rFonts w:hint="eastAsia" w:ascii="宋体" w:hAnsi="宋体" w:eastAsia="宋体" w:cs="宋体"/>
                <w:b w:val="0"/>
                <w:kern w:val="0"/>
                <w:sz w:val="20"/>
                <w:szCs w:val="20"/>
                <w:bdr w:val="none" w:color="auto" w:sz="0" w:space="0"/>
                <w:vertAlign w:val="baseline"/>
                <w:lang w:val="en-US" w:eastAsia="zh-CN" w:bidi="ar"/>
              </w:rPr>
              <w:t>7</w:t>
            </w:r>
          </w:p>
        </w:tc>
        <w:tc>
          <w:tcPr>
            <w:tcW w:w="728" w:type="pct"/>
            <w:tcBorders>
              <w:top w:val="nil"/>
              <w:left w:val="nil"/>
              <w:bottom w:val="single" w:color="000000" w:sz="4" w:space="0"/>
              <w:right w:val="single" w:color="000000" w:sz="4"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b w:val="0"/>
              </w:rPr>
            </w:pPr>
            <w:r>
              <w:rPr>
                <w:rFonts w:hint="eastAsia" w:ascii="宋体" w:hAnsi="宋体" w:eastAsia="宋体" w:cs="宋体"/>
                <w:b w:val="0"/>
                <w:kern w:val="0"/>
                <w:sz w:val="20"/>
                <w:szCs w:val="20"/>
                <w:bdr w:val="none" w:color="auto" w:sz="0" w:space="0"/>
                <w:vertAlign w:val="baseline"/>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70" w:hRule="atLeast"/>
        </w:trPr>
        <w:tc>
          <w:tcPr>
            <w:tcW w:w="1049" w:type="pct"/>
            <w:vMerge w:val="restart"/>
            <w:tcBorders>
              <w:top w:val="nil"/>
              <w:left w:val="single" w:color="000000" w:sz="4" w:space="0"/>
              <w:bottom w:val="single" w:color="000000" w:sz="4" w:space="0"/>
              <w:right w:val="single" w:color="000000" w:sz="4"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b w:val="0"/>
              </w:rPr>
            </w:pPr>
            <w:r>
              <w:rPr>
                <w:rFonts w:hint="eastAsia" w:ascii="宋体" w:hAnsi="宋体" w:eastAsia="宋体" w:cs="宋体"/>
                <w:b w:val="0"/>
                <w:kern w:val="0"/>
                <w:sz w:val="20"/>
                <w:szCs w:val="20"/>
                <w:bdr w:val="none" w:color="auto" w:sz="0" w:space="0"/>
                <w:vertAlign w:val="baseline"/>
                <w:lang w:val="en-US" w:eastAsia="zh-CN" w:bidi="ar"/>
              </w:rPr>
              <w:t>082300交通运输工程</w:t>
            </w:r>
          </w:p>
        </w:tc>
        <w:tc>
          <w:tcPr>
            <w:tcW w:w="1707" w:type="pct"/>
            <w:tcBorders>
              <w:top w:val="nil"/>
              <w:left w:val="nil"/>
              <w:bottom w:val="single" w:color="000000" w:sz="4" w:space="0"/>
              <w:right w:val="single" w:color="000000" w:sz="4"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b w:val="0"/>
              </w:rPr>
            </w:pPr>
            <w:r>
              <w:rPr>
                <w:rFonts w:hint="eastAsia" w:ascii="宋体" w:hAnsi="宋体" w:eastAsia="宋体" w:cs="宋体"/>
                <w:b w:val="0"/>
                <w:kern w:val="0"/>
                <w:sz w:val="20"/>
                <w:szCs w:val="20"/>
                <w:bdr w:val="none" w:color="auto" w:sz="0" w:space="0"/>
                <w:vertAlign w:val="baseline"/>
                <w:lang w:val="en-US" w:eastAsia="zh-CN" w:bidi="ar"/>
              </w:rPr>
              <w:t>01交通基础设施工程</w:t>
            </w:r>
          </w:p>
        </w:tc>
        <w:tc>
          <w:tcPr>
            <w:tcW w:w="707" w:type="pct"/>
            <w:vMerge w:val="restart"/>
            <w:tcBorders>
              <w:top w:val="nil"/>
              <w:left w:val="nil"/>
              <w:bottom w:val="nil"/>
              <w:right w:val="single" w:color="000000" w:sz="4"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b w:val="0"/>
              </w:rPr>
            </w:pPr>
            <w:bookmarkStart w:id="1" w:name="_GoBack"/>
            <w:bookmarkEnd w:id="1"/>
            <w:r>
              <w:rPr>
                <w:rFonts w:hint="eastAsia" w:ascii="宋体" w:hAnsi="宋体" w:eastAsia="宋体" w:cs="宋体"/>
                <w:b w:val="0"/>
                <w:kern w:val="0"/>
                <w:sz w:val="20"/>
                <w:szCs w:val="20"/>
                <w:bdr w:val="none" w:color="auto" w:sz="0" w:space="0"/>
                <w:vertAlign w:val="baseline"/>
                <w:lang w:val="en-US" w:eastAsia="zh-CN" w:bidi="ar"/>
              </w:rPr>
              <w:t>全日制学术型</w:t>
            </w:r>
          </w:p>
        </w:tc>
        <w:tc>
          <w:tcPr>
            <w:tcW w:w="807" w:type="pct"/>
            <w:tcBorders>
              <w:top w:val="nil"/>
              <w:left w:val="nil"/>
              <w:bottom w:val="single" w:color="000000" w:sz="4" w:space="0"/>
              <w:right w:val="single" w:color="000000" w:sz="4"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b w:val="0"/>
              </w:rPr>
            </w:pPr>
            <w:r>
              <w:rPr>
                <w:rFonts w:hint="eastAsia" w:ascii="宋体" w:hAnsi="宋体" w:eastAsia="宋体" w:cs="宋体"/>
                <w:b w:val="0"/>
                <w:kern w:val="0"/>
                <w:sz w:val="20"/>
                <w:szCs w:val="20"/>
                <w:bdr w:val="none" w:color="auto" w:sz="0" w:space="0"/>
                <w:vertAlign w:val="baseline"/>
                <w:lang w:val="en-US" w:eastAsia="zh-CN" w:bidi="ar"/>
              </w:rPr>
              <w:t>6</w:t>
            </w:r>
          </w:p>
        </w:tc>
        <w:tc>
          <w:tcPr>
            <w:tcW w:w="728" w:type="pct"/>
            <w:tcBorders>
              <w:top w:val="nil"/>
              <w:left w:val="nil"/>
              <w:bottom w:val="single" w:color="000000" w:sz="4" w:space="0"/>
              <w:right w:val="single" w:color="000000" w:sz="4"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b w:val="0"/>
              </w:rPr>
            </w:pPr>
            <w:r>
              <w:rPr>
                <w:rFonts w:hint="eastAsia" w:ascii="宋体" w:hAnsi="宋体" w:eastAsia="宋体" w:cs="宋体"/>
                <w:b w:val="0"/>
                <w:kern w:val="0"/>
                <w:sz w:val="20"/>
                <w:szCs w:val="20"/>
                <w:bdr w:val="none" w:color="auto" w:sz="0" w:space="0"/>
                <w:vertAlign w:val="baseline"/>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70" w:hRule="atLeast"/>
        </w:trPr>
        <w:tc>
          <w:tcPr>
            <w:tcW w:w="1049" w:type="pct"/>
            <w:vMerge w:val="continue"/>
            <w:tcBorders>
              <w:top w:val="nil"/>
              <w:left w:val="single" w:color="000000" w:sz="4" w:space="0"/>
              <w:bottom w:val="single" w:color="000000" w:sz="4" w:space="0"/>
              <w:right w:val="single" w:color="000000" w:sz="4" w:space="0"/>
            </w:tcBorders>
            <w:shd w:val="clear"/>
            <w:vAlign w:val="top"/>
          </w:tcPr>
          <w:p>
            <w:pPr>
              <w:rPr>
                <w:rFonts w:hint="eastAsia" w:ascii="宋体"/>
                <w:b w:val="0"/>
                <w:sz w:val="24"/>
                <w:szCs w:val="24"/>
                <w:vertAlign w:val="baseline"/>
              </w:rPr>
            </w:pPr>
          </w:p>
        </w:tc>
        <w:tc>
          <w:tcPr>
            <w:tcW w:w="1707" w:type="pct"/>
            <w:tcBorders>
              <w:top w:val="nil"/>
              <w:left w:val="nil"/>
              <w:bottom w:val="single" w:color="000000" w:sz="4" w:space="0"/>
              <w:right w:val="single" w:color="000000" w:sz="4"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b w:val="0"/>
              </w:rPr>
            </w:pPr>
            <w:r>
              <w:rPr>
                <w:rFonts w:hint="eastAsia" w:ascii="宋体" w:hAnsi="宋体" w:eastAsia="宋体" w:cs="宋体"/>
                <w:b w:val="0"/>
                <w:kern w:val="0"/>
                <w:sz w:val="20"/>
                <w:szCs w:val="20"/>
                <w:bdr w:val="none" w:color="auto" w:sz="0" w:space="0"/>
                <w:vertAlign w:val="baseline"/>
                <w:lang w:val="en-US" w:eastAsia="zh-CN" w:bidi="ar"/>
              </w:rPr>
              <w:t>02交通安全与环境</w:t>
            </w:r>
          </w:p>
        </w:tc>
        <w:tc>
          <w:tcPr>
            <w:tcW w:w="707" w:type="pct"/>
            <w:vMerge w:val="continue"/>
            <w:tcBorders>
              <w:top w:val="nil"/>
              <w:left w:val="nil"/>
              <w:bottom w:val="nil"/>
              <w:right w:val="single" w:color="000000" w:sz="4" w:space="0"/>
            </w:tcBorders>
            <w:shd w:val="clear"/>
            <w:vAlign w:val="top"/>
          </w:tcPr>
          <w:p>
            <w:pPr>
              <w:rPr>
                <w:rFonts w:hint="eastAsia" w:ascii="宋体"/>
                <w:b w:val="0"/>
                <w:sz w:val="24"/>
                <w:szCs w:val="24"/>
                <w:vertAlign w:val="baseline"/>
              </w:rPr>
            </w:pPr>
          </w:p>
        </w:tc>
        <w:tc>
          <w:tcPr>
            <w:tcW w:w="807" w:type="pct"/>
            <w:tcBorders>
              <w:top w:val="nil"/>
              <w:left w:val="nil"/>
              <w:bottom w:val="single" w:color="000000" w:sz="4" w:space="0"/>
              <w:right w:val="single" w:color="000000" w:sz="4"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b w:val="0"/>
              </w:rPr>
            </w:pPr>
            <w:r>
              <w:rPr>
                <w:rFonts w:hint="eastAsia" w:ascii="宋体" w:hAnsi="宋体" w:eastAsia="宋体" w:cs="宋体"/>
                <w:b w:val="0"/>
                <w:kern w:val="0"/>
                <w:sz w:val="20"/>
                <w:szCs w:val="20"/>
                <w:bdr w:val="none" w:color="auto" w:sz="0" w:space="0"/>
                <w:vertAlign w:val="baseline"/>
                <w:lang w:val="en-US" w:eastAsia="zh-CN" w:bidi="ar"/>
              </w:rPr>
              <w:t>4</w:t>
            </w:r>
          </w:p>
        </w:tc>
        <w:tc>
          <w:tcPr>
            <w:tcW w:w="728" w:type="pct"/>
            <w:tcBorders>
              <w:top w:val="nil"/>
              <w:left w:val="nil"/>
              <w:bottom w:val="single" w:color="000000" w:sz="4" w:space="0"/>
              <w:right w:val="single" w:color="000000" w:sz="4"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b w:val="0"/>
              </w:rPr>
            </w:pPr>
            <w:r>
              <w:rPr>
                <w:rFonts w:hint="eastAsia" w:ascii="宋体" w:hAnsi="宋体" w:eastAsia="宋体" w:cs="宋体"/>
                <w:b w:val="0"/>
                <w:kern w:val="0"/>
                <w:sz w:val="20"/>
                <w:szCs w:val="20"/>
                <w:bdr w:val="none" w:color="auto" w:sz="0" w:space="0"/>
                <w:vertAlign w:val="baseline"/>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70" w:hRule="atLeast"/>
        </w:trPr>
        <w:tc>
          <w:tcPr>
            <w:tcW w:w="1049" w:type="pct"/>
            <w:vMerge w:val="continue"/>
            <w:tcBorders>
              <w:top w:val="nil"/>
              <w:left w:val="single" w:color="000000" w:sz="4" w:space="0"/>
              <w:bottom w:val="single" w:color="000000" w:sz="4" w:space="0"/>
              <w:right w:val="single" w:color="000000" w:sz="4" w:space="0"/>
            </w:tcBorders>
            <w:shd w:val="clear"/>
            <w:vAlign w:val="top"/>
          </w:tcPr>
          <w:p>
            <w:pPr>
              <w:rPr>
                <w:rFonts w:hint="eastAsia" w:ascii="宋体"/>
                <w:b w:val="0"/>
                <w:sz w:val="24"/>
                <w:szCs w:val="24"/>
                <w:vertAlign w:val="baseline"/>
              </w:rPr>
            </w:pPr>
          </w:p>
        </w:tc>
        <w:tc>
          <w:tcPr>
            <w:tcW w:w="1707" w:type="pct"/>
            <w:tcBorders>
              <w:top w:val="nil"/>
              <w:left w:val="nil"/>
              <w:bottom w:val="single" w:color="000000" w:sz="4" w:space="0"/>
              <w:right w:val="single" w:color="000000" w:sz="4"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b w:val="0"/>
              </w:rPr>
            </w:pPr>
            <w:r>
              <w:rPr>
                <w:rFonts w:hint="eastAsia" w:ascii="宋体" w:hAnsi="宋体" w:eastAsia="宋体" w:cs="宋体"/>
                <w:b w:val="0"/>
                <w:kern w:val="0"/>
                <w:sz w:val="20"/>
                <w:szCs w:val="20"/>
                <w:bdr w:val="none" w:color="auto" w:sz="0" w:space="0"/>
                <w:vertAlign w:val="baseline"/>
                <w:lang w:val="en-US" w:eastAsia="zh-CN" w:bidi="ar"/>
              </w:rPr>
              <w:t>03交通运输（物流）规划与管理</w:t>
            </w:r>
          </w:p>
        </w:tc>
        <w:tc>
          <w:tcPr>
            <w:tcW w:w="707" w:type="pct"/>
            <w:vMerge w:val="continue"/>
            <w:tcBorders>
              <w:top w:val="nil"/>
              <w:left w:val="nil"/>
              <w:bottom w:val="nil"/>
              <w:right w:val="single" w:color="000000" w:sz="4" w:space="0"/>
            </w:tcBorders>
            <w:shd w:val="clear"/>
            <w:vAlign w:val="top"/>
          </w:tcPr>
          <w:p>
            <w:pPr>
              <w:rPr>
                <w:rFonts w:hint="eastAsia" w:ascii="宋体"/>
                <w:b w:val="0"/>
                <w:sz w:val="24"/>
                <w:szCs w:val="24"/>
                <w:vertAlign w:val="baseline"/>
              </w:rPr>
            </w:pPr>
          </w:p>
        </w:tc>
        <w:tc>
          <w:tcPr>
            <w:tcW w:w="807" w:type="pct"/>
            <w:tcBorders>
              <w:top w:val="nil"/>
              <w:left w:val="nil"/>
              <w:bottom w:val="single" w:color="000000" w:sz="4" w:space="0"/>
              <w:right w:val="single" w:color="000000" w:sz="4"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b w:val="0"/>
              </w:rPr>
            </w:pPr>
            <w:r>
              <w:rPr>
                <w:rFonts w:hint="eastAsia" w:ascii="宋体" w:hAnsi="宋体" w:eastAsia="宋体" w:cs="宋体"/>
                <w:b w:val="0"/>
                <w:kern w:val="0"/>
                <w:sz w:val="20"/>
                <w:szCs w:val="20"/>
                <w:bdr w:val="none" w:color="auto" w:sz="0" w:space="0"/>
                <w:vertAlign w:val="baseline"/>
                <w:lang w:val="en-US" w:eastAsia="zh-CN" w:bidi="ar"/>
              </w:rPr>
              <w:t>4</w:t>
            </w:r>
          </w:p>
        </w:tc>
        <w:tc>
          <w:tcPr>
            <w:tcW w:w="728" w:type="pct"/>
            <w:tcBorders>
              <w:top w:val="nil"/>
              <w:left w:val="nil"/>
              <w:bottom w:val="single" w:color="000000" w:sz="4" w:space="0"/>
              <w:right w:val="single" w:color="000000" w:sz="4"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b w:val="0"/>
              </w:rPr>
            </w:pPr>
            <w:r>
              <w:rPr>
                <w:rStyle w:val="4"/>
                <w:rFonts w:hint="eastAsia" w:ascii="宋体" w:hAnsi="宋体" w:eastAsia="宋体" w:cs="宋体"/>
                <w:b w:val="0"/>
                <w:kern w:val="0"/>
                <w:sz w:val="20"/>
                <w:szCs w:val="20"/>
                <w:bdr w:val="none" w:color="auto" w:sz="0" w:space="0"/>
                <w:vertAlign w:val="baseline"/>
                <w:lang w:val="en-US" w:eastAsia="zh-CN" w:bidi="ar"/>
              </w:rPr>
              <w:t>交通规划与管理方向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70" w:hRule="atLeast"/>
        </w:trPr>
        <w:tc>
          <w:tcPr>
            <w:tcW w:w="1049" w:type="pct"/>
            <w:vMerge w:val="continue"/>
            <w:tcBorders>
              <w:top w:val="nil"/>
              <w:left w:val="single" w:color="000000" w:sz="4" w:space="0"/>
              <w:bottom w:val="single" w:color="000000" w:sz="4" w:space="0"/>
              <w:right w:val="single" w:color="000000" w:sz="4" w:space="0"/>
            </w:tcBorders>
            <w:shd w:val="clear"/>
            <w:vAlign w:val="top"/>
          </w:tcPr>
          <w:p>
            <w:pPr>
              <w:rPr>
                <w:rFonts w:hint="eastAsia" w:ascii="宋体"/>
                <w:b w:val="0"/>
                <w:sz w:val="24"/>
                <w:szCs w:val="24"/>
                <w:vertAlign w:val="baseline"/>
              </w:rPr>
            </w:pPr>
          </w:p>
        </w:tc>
        <w:tc>
          <w:tcPr>
            <w:tcW w:w="1707" w:type="pct"/>
            <w:tcBorders>
              <w:top w:val="nil"/>
              <w:left w:val="nil"/>
              <w:bottom w:val="single" w:color="000000" w:sz="4" w:space="0"/>
              <w:right w:val="single" w:color="000000" w:sz="4"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b w:val="0"/>
              </w:rPr>
            </w:pPr>
            <w:r>
              <w:rPr>
                <w:rFonts w:hint="eastAsia" w:ascii="宋体" w:hAnsi="宋体" w:eastAsia="宋体" w:cs="宋体"/>
                <w:b w:val="0"/>
                <w:kern w:val="0"/>
                <w:sz w:val="20"/>
                <w:szCs w:val="20"/>
                <w:bdr w:val="none" w:color="auto" w:sz="0" w:space="0"/>
                <w:vertAlign w:val="baseline"/>
                <w:lang w:val="en-US" w:eastAsia="zh-CN" w:bidi="ar"/>
              </w:rPr>
              <w:t>03交通运输（物流）规划与管理</w:t>
            </w:r>
          </w:p>
        </w:tc>
        <w:tc>
          <w:tcPr>
            <w:tcW w:w="707" w:type="pct"/>
            <w:vMerge w:val="continue"/>
            <w:tcBorders>
              <w:top w:val="nil"/>
              <w:left w:val="nil"/>
              <w:bottom w:val="nil"/>
              <w:right w:val="single" w:color="000000" w:sz="4" w:space="0"/>
            </w:tcBorders>
            <w:shd w:val="clear"/>
            <w:vAlign w:val="top"/>
          </w:tcPr>
          <w:p>
            <w:pPr>
              <w:rPr>
                <w:rFonts w:hint="eastAsia" w:ascii="宋体"/>
                <w:b w:val="0"/>
                <w:sz w:val="24"/>
                <w:szCs w:val="24"/>
                <w:vertAlign w:val="baseline"/>
              </w:rPr>
            </w:pPr>
          </w:p>
        </w:tc>
        <w:tc>
          <w:tcPr>
            <w:tcW w:w="807" w:type="pct"/>
            <w:tcBorders>
              <w:top w:val="nil"/>
              <w:left w:val="nil"/>
              <w:bottom w:val="single" w:color="000000" w:sz="4" w:space="0"/>
              <w:right w:val="single" w:color="000000" w:sz="4"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b w:val="0"/>
              </w:rPr>
            </w:pPr>
            <w:r>
              <w:rPr>
                <w:rFonts w:hint="eastAsia" w:ascii="宋体" w:hAnsi="宋体" w:eastAsia="宋体" w:cs="宋体"/>
                <w:b w:val="0"/>
                <w:kern w:val="0"/>
                <w:sz w:val="20"/>
                <w:szCs w:val="20"/>
                <w:bdr w:val="none" w:color="auto" w:sz="0" w:space="0"/>
                <w:vertAlign w:val="baseline"/>
                <w:lang w:val="en-US" w:eastAsia="zh-CN" w:bidi="ar"/>
              </w:rPr>
              <w:t>4</w:t>
            </w:r>
          </w:p>
        </w:tc>
        <w:tc>
          <w:tcPr>
            <w:tcW w:w="728" w:type="pct"/>
            <w:tcBorders>
              <w:top w:val="nil"/>
              <w:left w:val="nil"/>
              <w:bottom w:val="single" w:color="000000" w:sz="4" w:space="0"/>
              <w:right w:val="single" w:color="000000" w:sz="4"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b w:val="0"/>
              </w:rPr>
            </w:pPr>
            <w:r>
              <w:rPr>
                <w:rStyle w:val="4"/>
                <w:rFonts w:hint="eastAsia" w:ascii="宋体" w:hAnsi="宋体" w:eastAsia="宋体" w:cs="宋体"/>
                <w:b w:val="0"/>
                <w:kern w:val="0"/>
                <w:sz w:val="20"/>
                <w:szCs w:val="20"/>
                <w:bdr w:val="none" w:color="auto" w:sz="0" w:space="0"/>
                <w:vertAlign w:val="baseline"/>
                <w:lang w:val="en-US" w:eastAsia="zh-CN" w:bidi="ar"/>
              </w:rPr>
              <w:t>物流规划与管理方向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70" w:hRule="atLeast"/>
        </w:trPr>
        <w:tc>
          <w:tcPr>
            <w:tcW w:w="3464" w:type="pct"/>
            <w:gridSpan w:val="3"/>
            <w:tcBorders>
              <w:top w:val="nil"/>
              <w:left w:val="single" w:color="000000" w:sz="4" w:space="0"/>
              <w:bottom w:val="single" w:color="000000" w:sz="4" w:space="0"/>
              <w:right w:val="single" w:color="000000" w:sz="4"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b w:val="0"/>
              </w:rPr>
            </w:pPr>
            <w:r>
              <w:rPr>
                <w:rFonts w:hint="eastAsia" w:ascii="宋体" w:hAnsi="宋体" w:eastAsia="宋体" w:cs="宋体"/>
                <w:b w:val="0"/>
                <w:kern w:val="0"/>
                <w:sz w:val="20"/>
                <w:szCs w:val="20"/>
                <w:bdr w:val="none" w:color="auto" w:sz="0" w:space="0"/>
                <w:vertAlign w:val="baseline"/>
                <w:lang w:val="en-US" w:eastAsia="zh-CN" w:bidi="ar"/>
              </w:rPr>
              <w:t>合计</w:t>
            </w:r>
          </w:p>
        </w:tc>
        <w:tc>
          <w:tcPr>
            <w:tcW w:w="807" w:type="pct"/>
            <w:tcBorders>
              <w:top w:val="nil"/>
              <w:left w:val="nil"/>
              <w:bottom w:val="single" w:color="000000" w:sz="4" w:space="0"/>
              <w:right w:val="single" w:color="000000" w:sz="4"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b w:val="0"/>
              </w:rPr>
            </w:pPr>
            <w:r>
              <w:rPr>
                <w:rFonts w:hint="eastAsia" w:ascii="宋体" w:hAnsi="宋体" w:eastAsia="宋体" w:cs="宋体"/>
                <w:b w:val="0"/>
                <w:kern w:val="0"/>
                <w:sz w:val="20"/>
                <w:szCs w:val="20"/>
                <w:bdr w:val="none" w:color="auto" w:sz="0" w:space="0"/>
                <w:vertAlign w:val="baseline"/>
                <w:lang w:val="en-US" w:eastAsia="zh-CN" w:bidi="ar"/>
              </w:rPr>
              <w:t>25</w:t>
            </w:r>
          </w:p>
        </w:tc>
        <w:tc>
          <w:tcPr>
            <w:tcW w:w="728" w:type="pct"/>
            <w:tcBorders>
              <w:top w:val="nil"/>
              <w:left w:val="nil"/>
              <w:bottom w:val="single" w:color="000000" w:sz="4" w:space="0"/>
              <w:right w:val="single" w:color="000000" w:sz="4"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b w:val="0"/>
              </w:rPr>
            </w:pPr>
            <w:r>
              <w:rPr>
                <w:rFonts w:hint="eastAsia" w:ascii="宋体" w:hAnsi="宋体" w:eastAsia="宋体" w:cs="宋体"/>
                <w:b w:val="0"/>
                <w:kern w:val="0"/>
                <w:sz w:val="20"/>
                <w:szCs w:val="20"/>
                <w:bdr w:val="none" w:color="auto" w:sz="0" w:space="0"/>
                <w:vertAlign w:val="baseline"/>
                <w:lang w:val="en-US" w:eastAsia="zh-CN" w:bidi="ar"/>
              </w:rPr>
              <w:t> </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0" w:lineRule="atLeast"/>
        <w:ind w:left="0" w:right="0" w:firstLine="370"/>
        <w:jc w:val="left"/>
        <w:textAlignment w:val="baseline"/>
        <w:rPr>
          <w:b w:val="0"/>
        </w:rPr>
      </w:pPr>
      <w:r>
        <w:rPr>
          <w:rFonts w:hint="eastAsia" w:ascii="宋体" w:hAnsi="宋体" w:eastAsia="宋体" w:cs="宋体"/>
          <w:b w:val="0"/>
          <w:i w:val="0"/>
          <w:caps w:val="0"/>
          <w:color w:val="333333"/>
          <w:spacing w:val="0"/>
          <w:kern w:val="0"/>
          <w:sz w:val="20"/>
          <w:szCs w:val="20"/>
          <w:bdr w:val="none" w:color="auto" w:sz="0" w:space="0"/>
          <w:shd w:val="clear" w:fill="FFFFFF"/>
          <w:vertAlign w:val="baseline"/>
          <w:lang w:val="en-US" w:eastAsia="zh-CN" w:bidi="ar"/>
        </w:rPr>
        <w:t>2.我院2023年各专业招收攻读硕士研究生名额和复试比例如下：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50" w:lineRule="atLeast"/>
        <w:ind w:left="0" w:right="0" w:firstLine="370"/>
        <w:jc w:val="left"/>
        <w:textAlignment w:val="baseline"/>
        <w:rPr>
          <w:b w:val="0"/>
        </w:rPr>
      </w:pPr>
      <w:r>
        <w:rPr>
          <w:rFonts w:hint="eastAsia" w:ascii="宋体" w:hAnsi="宋体" w:eastAsia="宋体" w:cs="宋体"/>
          <w:b w:val="0"/>
          <w:i w:val="0"/>
          <w:caps w:val="0"/>
          <w:color w:val="333333"/>
          <w:spacing w:val="0"/>
          <w:kern w:val="0"/>
          <w:sz w:val="20"/>
          <w:szCs w:val="20"/>
          <w:bdr w:val="none" w:color="auto" w:sz="0" w:space="0"/>
          <w:shd w:val="clear" w:fill="FFFFFF"/>
          <w:vertAlign w:val="baseline"/>
          <w:lang w:val="en-US" w:eastAsia="zh-CN" w:bidi="ar"/>
        </w:rPr>
        <w:t>（1）凡报考我院调剂的考生，在满足复试基本分数线的前提下，根据各学科或专业研究方向的招生计划数按照初试总成绩从高到低的顺序按</w:t>
      </w:r>
      <w:r>
        <w:rPr>
          <w:rStyle w:val="4"/>
          <w:rFonts w:hint="eastAsia" w:ascii="宋体" w:hAnsi="宋体" w:eastAsia="宋体" w:cs="宋体"/>
          <w:b w:val="0"/>
          <w:i w:val="0"/>
          <w:caps w:val="0"/>
          <w:color w:val="333333"/>
          <w:spacing w:val="0"/>
          <w:kern w:val="0"/>
          <w:sz w:val="20"/>
          <w:szCs w:val="20"/>
          <w:bdr w:val="none" w:color="auto" w:sz="0" w:space="0"/>
          <w:shd w:val="clear" w:fill="FFFFFF"/>
          <w:vertAlign w:val="baseline"/>
          <w:lang w:val="en-US" w:eastAsia="zh-CN" w:bidi="ar"/>
        </w:rPr>
        <w:t>不低于1:1.2的比例</w:t>
      </w:r>
      <w:r>
        <w:rPr>
          <w:rFonts w:hint="eastAsia" w:ascii="宋体" w:hAnsi="宋体" w:eastAsia="宋体" w:cs="宋体"/>
          <w:b w:val="0"/>
          <w:i w:val="0"/>
          <w:caps w:val="0"/>
          <w:color w:val="333333"/>
          <w:spacing w:val="0"/>
          <w:kern w:val="0"/>
          <w:sz w:val="20"/>
          <w:szCs w:val="20"/>
          <w:bdr w:val="none" w:color="auto" w:sz="0" w:space="0"/>
          <w:shd w:val="clear" w:fill="FFFFFF"/>
          <w:vertAlign w:val="baseline"/>
          <w:lang w:val="en-US" w:eastAsia="zh-CN" w:bidi="ar"/>
        </w:rPr>
        <w:t>划定复试考生名单；生源不足的专业则一般不进行差额划定复试考生名单。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50" w:lineRule="atLeast"/>
        <w:ind w:left="0" w:right="0" w:firstLine="370"/>
        <w:jc w:val="left"/>
        <w:textAlignment w:val="baseline"/>
        <w:rPr>
          <w:b w:val="0"/>
        </w:rPr>
      </w:pPr>
      <w:r>
        <w:rPr>
          <w:rFonts w:hint="eastAsia" w:ascii="宋体" w:hAnsi="宋体" w:eastAsia="宋体" w:cs="宋体"/>
          <w:b w:val="0"/>
          <w:i w:val="0"/>
          <w:caps w:val="0"/>
          <w:color w:val="333333"/>
          <w:spacing w:val="0"/>
          <w:kern w:val="0"/>
          <w:sz w:val="20"/>
          <w:szCs w:val="20"/>
          <w:bdr w:val="none" w:color="auto" w:sz="0" w:space="0"/>
          <w:shd w:val="clear" w:fill="FFFFFF"/>
          <w:vertAlign w:val="baseline"/>
          <w:lang w:val="en-US" w:eastAsia="zh-CN" w:bidi="ar"/>
        </w:rPr>
        <w:t>（2）</w:t>
      </w:r>
      <w:r>
        <w:rPr>
          <w:rStyle w:val="4"/>
          <w:rFonts w:hint="eastAsia" w:ascii="宋体" w:hAnsi="宋体" w:eastAsia="宋体" w:cs="宋体"/>
          <w:b w:val="0"/>
          <w:i w:val="0"/>
          <w:caps w:val="0"/>
          <w:color w:val="333333"/>
          <w:spacing w:val="0"/>
          <w:kern w:val="0"/>
          <w:sz w:val="20"/>
          <w:szCs w:val="20"/>
          <w:bdr w:val="none" w:color="auto" w:sz="0" w:space="0"/>
          <w:shd w:val="clear" w:fill="FFFFFF"/>
          <w:vertAlign w:val="baseline"/>
          <w:lang w:val="en-US" w:eastAsia="zh-CN" w:bidi="ar"/>
        </w:rPr>
        <w:t>调剂生在报名时需明确选择研究方向。选择交通运输（物流）规划与管理方向的考生，必须备注“交通规划与管理方向”或“物流规划与管理方向”，</w:t>
      </w:r>
      <w:r>
        <w:rPr>
          <w:rFonts w:hint="eastAsia" w:ascii="宋体" w:hAnsi="宋体" w:eastAsia="宋体" w:cs="宋体"/>
          <w:b w:val="0"/>
          <w:i w:val="0"/>
          <w:caps w:val="0"/>
          <w:color w:val="333333"/>
          <w:spacing w:val="0"/>
          <w:kern w:val="0"/>
          <w:sz w:val="20"/>
          <w:szCs w:val="20"/>
          <w:bdr w:val="none" w:color="auto" w:sz="0" w:space="0"/>
          <w:shd w:val="clear" w:fill="FFFFFF"/>
          <w:vertAlign w:val="baseline"/>
          <w:lang w:val="en-US" w:eastAsia="zh-CN" w:bidi="ar"/>
        </w:rPr>
        <w:t>在划定复试名单时，如果考生填报多个研究方向的，以所填第一个研究方向为准；如果考生没有填报研究方向的，学院将进行随机分配。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50" w:lineRule="atLeast"/>
        <w:ind w:left="0" w:right="0" w:firstLine="370"/>
        <w:jc w:val="left"/>
        <w:textAlignment w:val="baseline"/>
        <w:rPr>
          <w:b w:val="0"/>
        </w:rPr>
      </w:pPr>
      <w:r>
        <w:rPr>
          <w:rFonts w:hint="eastAsia" w:ascii="宋体" w:hAnsi="宋体" w:eastAsia="宋体" w:cs="宋体"/>
          <w:b w:val="0"/>
          <w:i w:val="0"/>
          <w:caps w:val="0"/>
          <w:color w:val="333333"/>
          <w:spacing w:val="0"/>
          <w:kern w:val="0"/>
          <w:sz w:val="20"/>
          <w:szCs w:val="20"/>
          <w:bdr w:val="none" w:color="auto" w:sz="0" w:space="0"/>
          <w:shd w:val="clear" w:fill="FFFFFF"/>
          <w:vertAlign w:val="baseline"/>
          <w:lang w:val="en-US" w:eastAsia="zh-CN" w:bidi="ar"/>
        </w:rPr>
        <w:t>3.上述招生计划中若某个专业或研究方向未能招满，则空出的招生指标视实际情况调整到别的专业或研究方向，调整变动后的指标情况将会在学院官网（</w:t>
      </w:r>
      <w:r>
        <w:rPr>
          <w:rFonts w:hint="eastAsia" w:ascii="微软雅黑" w:hAnsi="微软雅黑" w:eastAsia="微软雅黑" w:cs="微软雅黑"/>
          <w:b w:val="0"/>
          <w:i w:val="0"/>
          <w:caps w:val="0"/>
          <w:color w:val="0000FF"/>
          <w:spacing w:val="0"/>
          <w:kern w:val="0"/>
          <w:sz w:val="24"/>
          <w:szCs w:val="24"/>
          <w:u w:val="none"/>
          <w:bdr w:val="none" w:color="auto" w:sz="0" w:space="0"/>
          <w:shd w:val="clear" w:fill="FFFFFF"/>
          <w:vertAlign w:val="baseline"/>
          <w:lang w:val="en-US" w:eastAsia="zh-CN" w:bidi="ar"/>
        </w:rPr>
        <w:fldChar w:fldCharType="begin"/>
      </w:r>
      <w:r>
        <w:rPr>
          <w:rFonts w:hint="eastAsia" w:ascii="微软雅黑" w:hAnsi="微软雅黑" w:eastAsia="微软雅黑" w:cs="微软雅黑"/>
          <w:b w:val="0"/>
          <w:i w:val="0"/>
          <w:caps w:val="0"/>
          <w:color w:val="0000FF"/>
          <w:spacing w:val="0"/>
          <w:kern w:val="0"/>
          <w:sz w:val="24"/>
          <w:szCs w:val="24"/>
          <w:u w:val="none"/>
          <w:bdr w:val="none" w:color="auto" w:sz="0" w:space="0"/>
          <w:shd w:val="clear" w:fill="FFFFFF"/>
          <w:vertAlign w:val="baseline"/>
          <w:lang w:val="en-US" w:eastAsia="zh-CN" w:bidi="ar"/>
        </w:rPr>
        <w:instrText xml:space="preserve"> HYPERLINK "http://jtxy.fafu.edu.cn/" </w:instrText>
      </w:r>
      <w:r>
        <w:rPr>
          <w:rFonts w:hint="eastAsia" w:ascii="微软雅黑" w:hAnsi="微软雅黑" w:eastAsia="微软雅黑" w:cs="微软雅黑"/>
          <w:b w:val="0"/>
          <w:i w:val="0"/>
          <w:caps w:val="0"/>
          <w:color w:val="0000FF"/>
          <w:spacing w:val="0"/>
          <w:kern w:val="0"/>
          <w:sz w:val="24"/>
          <w:szCs w:val="24"/>
          <w:u w:val="none"/>
          <w:bdr w:val="none" w:color="auto" w:sz="0" w:space="0"/>
          <w:shd w:val="clear" w:fill="FFFFFF"/>
          <w:vertAlign w:val="baseline"/>
          <w:lang w:val="en-US" w:eastAsia="zh-CN" w:bidi="ar"/>
        </w:rPr>
        <w:fldChar w:fldCharType="separate"/>
      </w:r>
      <w:r>
        <w:rPr>
          <w:rStyle w:val="5"/>
          <w:rFonts w:hint="eastAsia" w:ascii="宋体" w:hAnsi="宋体" w:eastAsia="宋体" w:cs="宋体"/>
          <w:b w:val="0"/>
          <w:i w:val="0"/>
          <w:caps w:val="0"/>
          <w:color w:val="0000FF"/>
          <w:spacing w:val="0"/>
          <w:sz w:val="20"/>
          <w:szCs w:val="20"/>
          <w:u w:val="none"/>
          <w:bdr w:val="none" w:color="auto" w:sz="0" w:space="0"/>
          <w:shd w:val="clear" w:fill="FFFFFF"/>
          <w:vertAlign w:val="baseline"/>
        </w:rPr>
        <w:t>http://jtxy.fafu.edu.cn/</w:t>
      </w:r>
      <w:r>
        <w:rPr>
          <w:rFonts w:hint="eastAsia" w:ascii="微软雅黑" w:hAnsi="微软雅黑" w:eastAsia="微软雅黑" w:cs="微软雅黑"/>
          <w:b w:val="0"/>
          <w:i w:val="0"/>
          <w:caps w:val="0"/>
          <w:color w:val="0000FF"/>
          <w:spacing w:val="0"/>
          <w:kern w:val="0"/>
          <w:sz w:val="24"/>
          <w:szCs w:val="24"/>
          <w:u w:val="none"/>
          <w:bdr w:val="none" w:color="auto" w:sz="0" w:space="0"/>
          <w:shd w:val="clear" w:fill="FFFFFF"/>
          <w:vertAlign w:val="baseline"/>
          <w:lang w:val="en-US" w:eastAsia="zh-CN" w:bidi="ar"/>
        </w:rPr>
        <w:fldChar w:fldCharType="end"/>
      </w:r>
      <w:r>
        <w:rPr>
          <w:rFonts w:hint="eastAsia" w:ascii="宋体" w:hAnsi="宋体" w:eastAsia="宋体" w:cs="宋体"/>
          <w:b w:val="0"/>
          <w:i w:val="0"/>
          <w:caps w:val="0"/>
          <w:color w:val="333333"/>
          <w:spacing w:val="0"/>
          <w:kern w:val="0"/>
          <w:sz w:val="20"/>
          <w:szCs w:val="20"/>
          <w:bdr w:val="none" w:color="auto" w:sz="0" w:space="0"/>
          <w:shd w:val="clear" w:fill="FFFFFF"/>
          <w:vertAlign w:val="baseline"/>
          <w:lang w:val="en-US" w:eastAsia="zh-CN" w:bidi="ar"/>
        </w:rPr>
        <w:t>）上提前通知。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50" w:lineRule="atLeast"/>
        <w:ind w:left="0" w:right="0"/>
        <w:jc w:val="left"/>
        <w:textAlignment w:val="baseline"/>
        <w:rPr>
          <w:b w:val="0"/>
        </w:rPr>
      </w:pPr>
      <w:r>
        <w:rPr>
          <w:rStyle w:val="4"/>
          <w:rFonts w:hint="eastAsia" w:ascii="宋体" w:hAnsi="宋体" w:eastAsia="宋体" w:cs="宋体"/>
          <w:b w:val="0"/>
          <w:i w:val="0"/>
          <w:caps w:val="0"/>
          <w:color w:val="333333"/>
          <w:spacing w:val="0"/>
          <w:kern w:val="0"/>
          <w:sz w:val="20"/>
          <w:szCs w:val="20"/>
          <w:bdr w:val="none" w:color="auto" w:sz="0" w:space="0"/>
          <w:shd w:val="clear" w:fill="FFFFFF"/>
          <w:vertAlign w:val="baseline"/>
          <w:lang w:val="en-US" w:eastAsia="zh-CN" w:bidi="ar"/>
        </w:rPr>
        <w:t>三、复试时间流程安排</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50" w:lineRule="atLeast"/>
        <w:ind w:left="0" w:right="0" w:firstLine="370"/>
        <w:jc w:val="left"/>
        <w:textAlignment w:val="baseline"/>
        <w:rPr>
          <w:b w:val="0"/>
        </w:rPr>
      </w:pPr>
      <w:r>
        <w:rPr>
          <w:rFonts w:hint="eastAsia" w:ascii="宋体" w:hAnsi="宋体" w:eastAsia="宋体" w:cs="宋体"/>
          <w:b w:val="0"/>
          <w:i w:val="0"/>
          <w:caps w:val="0"/>
          <w:color w:val="333333"/>
          <w:spacing w:val="0"/>
          <w:kern w:val="0"/>
          <w:sz w:val="20"/>
          <w:szCs w:val="20"/>
          <w:bdr w:val="none" w:color="auto" w:sz="0" w:space="0"/>
          <w:shd w:val="clear" w:fill="FFFFFF"/>
          <w:vertAlign w:val="baseline"/>
          <w:lang w:val="en-US" w:eastAsia="zh-CN" w:bidi="ar"/>
        </w:rPr>
        <w:t>复试时间为4月6日~4月25日，详细时间安排请关注学院官网（</w:t>
      </w:r>
      <w:r>
        <w:rPr>
          <w:rFonts w:hint="eastAsia" w:ascii="微软雅黑" w:hAnsi="微软雅黑" w:eastAsia="微软雅黑" w:cs="微软雅黑"/>
          <w:b w:val="0"/>
          <w:i w:val="0"/>
          <w:caps w:val="0"/>
          <w:color w:val="0000FF"/>
          <w:spacing w:val="0"/>
          <w:kern w:val="0"/>
          <w:sz w:val="24"/>
          <w:szCs w:val="24"/>
          <w:u w:val="none"/>
          <w:bdr w:val="none" w:color="auto" w:sz="0" w:space="0"/>
          <w:shd w:val="clear" w:fill="FFFFFF"/>
          <w:vertAlign w:val="baseline"/>
          <w:lang w:val="en-US" w:eastAsia="zh-CN" w:bidi="ar"/>
        </w:rPr>
        <w:fldChar w:fldCharType="begin"/>
      </w:r>
      <w:r>
        <w:rPr>
          <w:rFonts w:hint="eastAsia" w:ascii="微软雅黑" w:hAnsi="微软雅黑" w:eastAsia="微软雅黑" w:cs="微软雅黑"/>
          <w:b w:val="0"/>
          <w:i w:val="0"/>
          <w:caps w:val="0"/>
          <w:color w:val="0000FF"/>
          <w:spacing w:val="0"/>
          <w:kern w:val="0"/>
          <w:sz w:val="24"/>
          <w:szCs w:val="24"/>
          <w:u w:val="none"/>
          <w:bdr w:val="none" w:color="auto" w:sz="0" w:space="0"/>
          <w:shd w:val="clear" w:fill="FFFFFF"/>
          <w:vertAlign w:val="baseline"/>
          <w:lang w:val="en-US" w:eastAsia="zh-CN" w:bidi="ar"/>
        </w:rPr>
        <w:instrText xml:space="preserve"> HYPERLINK "http://jtxy.fafu.edu.cn/" </w:instrText>
      </w:r>
      <w:r>
        <w:rPr>
          <w:rFonts w:hint="eastAsia" w:ascii="微软雅黑" w:hAnsi="微软雅黑" w:eastAsia="微软雅黑" w:cs="微软雅黑"/>
          <w:b w:val="0"/>
          <w:i w:val="0"/>
          <w:caps w:val="0"/>
          <w:color w:val="0000FF"/>
          <w:spacing w:val="0"/>
          <w:kern w:val="0"/>
          <w:sz w:val="24"/>
          <w:szCs w:val="24"/>
          <w:u w:val="none"/>
          <w:bdr w:val="none" w:color="auto" w:sz="0" w:space="0"/>
          <w:shd w:val="clear" w:fill="FFFFFF"/>
          <w:vertAlign w:val="baseline"/>
          <w:lang w:val="en-US" w:eastAsia="zh-CN" w:bidi="ar"/>
        </w:rPr>
        <w:fldChar w:fldCharType="separate"/>
      </w:r>
      <w:r>
        <w:rPr>
          <w:rStyle w:val="5"/>
          <w:rFonts w:hint="eastAsia" w:ascii="宋体" w:hAnsi="宋体" w:eastAsia="宋体" w:cs="宋体"/>
          <w:b w:val="0"/>
          <w:i w:val="0"/>
          <w:caps w:val="0"/>
          <w:color w:val="0000FF"/>
          <w:spacing w:val="0"/>
          <w:sz w:val="20"/>
          <w:szCs w:val="20"/>
          <w:u w:val="none"/>
          <w:bdr w:val="none" w:color="auto" w:sz="0" w:space="0"/>
          <w:shd w:val="clear" w:fill="FFFFFF"/>
          <w:vertAlign w:val="baseline"/>
        </w:rPr>
        <w:t>http://jtxy.fafu.edu.cn/</w:t>
      </w:r>
      <w:r>
        <w:rPr>
          <w:rFonts w:hint="eastAsia" w:ascii="微软雅黑" w:hAnsi="微软雅黑" w:eastAsia="微软雅黑" w:cs="微软雅黑"/>
          <w:b w:val="0"/>
          <w:i w:val="0"/>
          <w:caps w:val="0"/>
          <w:color w:val="0000FF"/>
          <w:spacing w:val="0"/>
          <w:kern w:val="0"/>
          <w:sz w:val="24"/>
          <w:szCs w:val="24"/>
          <w:u w:val="none"/>
          <w:bdr w:val="none" w:color="auto" w:sz="0" w:space="0"/>
          <w:shd w:val="clear" w:fill="FFFFFF"/>
          <w:vertAlign w:val="baseline"/>
          <w:lang w:val="en-US" w:eastAsia="zh-CN" w:bidi="ar"/>
        </w:rPr>
        <w:fldChar w:fldCharType="end"/>
      </w:r>
      <w:r>
        <w:rPr>
          <w:rFonts w:hint="eastAsia" w:ascii="宋体" w:hAnsi="宋体" w:eastAsia="宋体" w:cs="宋体"/>
          <w:b w:val="0"/>
          <w:i w:val="0"/>
          <w:caps w:val="0"/>
          <w:color w:val="333333"/>
          <w:spacing w:val="0"/>
          <w:kern w:val="0"/>
          <w:sz w:val="20"/>
          <w:szCs w:val="20"/>
          <w:bdr w:val="none" w:color="auto" w:sz="0" w:space="0"/>
          <w:shd w:val="clear" w:fill="FFFFFF"/>
          <w:vertAlign w:val="baseline"/>
          <w:lang w:val="en-US" w:eastAsia="zh-CN" w:bidi="ar"/>
        </w:rPr>
        <w:t>）公告栏。</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50" w:lineRule="atLeast"/>
        <w:ind w:left="0" w:right="0"/>
        <w:jc w:val="left"/>
        <w:textAlignment w:val="baseline"/>
        <w:rPr>
          <w:b w:val="0"/>
        </w:rPr>
      </w:pPr>
      <w:r>
        <w:rPr>
          <w:rStyle w:val="4"/>
          <w:rFonts w:hint="eastAsia" w:ascii="宋体" w:hAnsi="宋体" w:eastAsia="宋体" w:cs="宋体"/>
          <w:b w:val="0"/>
          <w:i w:val="0"/>
          <w:caps w:val="0"/>
          <w:color w:val="333333"/>
          <w:spacing w:val="0"/>
          <w:kern w:val="0"/>
          <w:sz w:val="20"/>
          <w:szCs w:val="20"/>
          <w:bdr w:val="none" w:color="auto" w:sz="0" w:space="0"/>
          <w:shd w:val="clear" w:fill="FFFFFF"/>
          <w:vertAlign w:val="baseline"/>
          <w:lang w:val="en-US" w:eastAsia="zh-CN" w:bidi="ar"/>
        </w:rPr>
        <w:t>四、复试考生资格审查材料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0" w:lineRule="atLeast"/>
        <w:ind w:left="0" w:right="0" w:firstLine="370"/>
        <w:jc w:val="left"/>
        <w:textAlignment w:val="baseline"/>
        <w:rPr>
          <w:b w:val="0"/>
        </w:rPr>
      </w:pPr>
      <w:r>
        <w:rPr>
          <w:rFonts w:hint="eastAsia" w:ascii="宋体" w:hAnsi="宋体" w:eastAsia="宋体" w:cs="宋体"/>
          <w:b w:val="0"/>
          <w:i w:val="0"/>
          <w:caps w:val="0"/>
          <w:color w:val="333333"/>
          <w:spacing w:val="0"/>
          <w:kern w:val="0"/>
          <w:sz w:val="20"/>
          <w:szCs w:val="20"/>
          <w:bdr w:val="none" w:color="auto" w:sz="0" w:space="0"/>
          <w:shd w:val="clear" w:fill="FFFFFF"/>
          <w:vertAlign w:val="baseline"/>
          <w:lang w:val="en-US" w:eastAsia="zh-CN" w:bidi="ar"/>
        </w:rPr>
        <w:t>我院将在复试前对考生进行资格审查。考生须提交资格审查材料签字盖章完整的电子扫描件并转为PDF格式，采用“报考专业+姓名+材料名称”进行命名，资格审查材料由学院保存，清单如下：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0" w:lineRule="atLeast"/>
        <w:ind w:left="0" w:right="0" w:firstLine="370"/>
        <w:jc w:val="left"/>
        <w:textAlignment w:val="baseline"/>
        <w:rPr>
          <w:b w:val="0"/>
        </w:rPr>
      </w:pPr>
      <w:r>
        <w:rPr>
          <w:rFonts w:hint="eastAsia" w:ascii="宋体" w:hAnsi="宋体" w:eastAsia="宋体" w:cs="宋体"/>
          <w:b w:val="0"/>
          <w:i w:val="0"/>
          <w:caps w:val="0"/>
          <w:color w:val="333333"/>
          <w:spacing w:val="0"/>
          <w:kern w:val="0"/>
          <w:sz w:val="20"/>
          <w:szCs w:val="20"/>
          <w:bdr w:val="none" w:color="auto" w:sz="0" w:space="0"/>
          <w:shd w:val="clear" w:fill="FFFFFF"/>
          <w:vertAlign w:val="baseline"/>
          <w:lang w:val="en-US" w:eastAsia="zh-CN" w:bidi="ar"/>
        </w:rPr>
        <w:t>1.考生签订的《诚信复试承诺书》，承诺书中应明确诚信考试的学生主体责任，明确告知何种情况视为作弊以及作弊的处理方式；</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0" w:lineRule="atLeast"/>
        <w:ind w:left="0" w:right="0" w:firstLine="370"/>
        <w:jc w:val="left"/>
        <w:textAlignment w:val="baseline"/>
        <w:rPr>
          <w:b w:val="0"/>
        </w:rPr>
      </w:pPr>
      <w:r>
        <w:rPr>
          <w:rFonts w:hint="eastAsia" w:ascii="宋体" w:hAnsi="宋体" w:eastAsia="宋体" w:cs="宋体"/>
          <w:b w:val="0"/>
          <w:i w:val="0"/>
          <w:caps w:val="0"/>
          <w:color w:val="333333"/>
          <w:spacing w:val="0"/>
          <w:kern w:val="0"/>
          <w:sz w:val="20"/>
          <w:szCs w:val="20"/>
          <w:bdr w:val="none" w:color="auto" w:sz="0" w:space="0"/>
          <w:shd w:val="clear" w:fill="FFFFFF"/>
          <w:vertAlign w:val="baseline"/>
          <w:lang w:val="en-US" w:eastAsia="zh-CN" w:bidi="ar"/>
        </w:rPr>
        <w:t>2.福建农林大学报考研究生思想政治情况表（见附件，该表由考生档案所在单位填写并盖章；若考生档案由工作单位寄挂在人才市场，则由考生档案所在地填写并盖章；本校应届毕业生由本科就读学院审查填写并盖章）；</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0" w:lineRule="atLeast"/>
        <w:ind w:left="0" w:right="0" w:firstLine="370"/>
        <w:jc w:val="left"/>
        <w:textAlignment w:val="baseline"/>
        <w:rPr>
          <w:b w:val="0"/>
        </w:rPr>
      </w:pPr>
      <w:r>
        <w:rPr>
          <w:rFonts w:hint="eastAsia" w:ascii="宋体" w:hAnsi="宋体" w:eastAsia="宋体" w:cs="宋体"/>
          <w:b w:val="0"/>
          <w:i w:val="0"/>
          <w:caps w:val="0"/>
          <w:color w:val="333333"/>
          <w:spacing w:val="0"/>
          <w:kern w:val="0"/>
          <w:sz w:val="20"/>
          <w:szCs w:val="20"/>
          <w:bdr w:val="none" w:color="auto" w:sz="0" w:space="0"/>
          <w:shd w:val="clear" w:fill="FFFFFF"/>
          <w:vertAlign w:val="baseline"/>
          <w:lang w:val="en-US" w:eastAsia="zh-CN" w:bidi="ar"/>
        </w:rPr>
        <w:t>3.准考证、身份证原件及复印件(考生本人签名确认)；</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0" w:lineRule="atLeast"/>
        <w:ind w:left="0" w:right="0" w:firstLine="370"/>
        <w:jc w:val="left"/>
        <w:textAlignment w:val="baseline"/>
        <w:rPr>
          <w:b w:val="0"/>
        </w:rPr>
      </w:pPr>
      <w:r>
        <w:rPr>
          <w:rFonts w:hint="eastAsia" w:ascii="宋体" w:hAnsi="宋体" w:eastAsia="宋体" w:cs="宋体"/>
          <w:b w:val="0"/>
          <w:i w:val="0"/>
          <w:caps w:val="0"/>
          <w:color w:val="333333"/>
          <w:spacing w:val="0"/>
          <w:kern w:val="0"/>
          <w:sz w:val="20"/>
          <w:szCs w:val="20"/>
          <w:bdr w:val="none" w:color="auto" w:sz="0" w:space="0"/>
          <w:shd w:val="clear" w:fill="FFFFFF"/>
          <w:vertAlign w:val="baseline"/>
          <w:lang w:val="en-US" w:eastAsia="zh-CN" w:bidi="ar"/>
        </w:rPr>
        <w:t>4.本科毕业证书（应届生须提供学生证）及复印件(考生本人签名确认)；</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0" w:lineRule="atLeast"/>
        <w:ind w:left="0" w:right="0" w:firstLine="370"/>
        <w:jc w:val="left"/>
        <w:textAlignment w:val="baseline"/>
        <w:rPr>
          <w:b w:val="0"/>
        </w:rPr>
      </w:pPr>
      <w:r>
        <w:rPr>
          <w:rFonts w:hint="eastAsia" w:ascii="宋体" w:hAnsi="宋体" w:eastAsia="宋体" w:cs="宋体"/>
          <w:b w:val="0"/>
          <w:i w:val="0"/>
          <w:caps w:val="0"/>
          <w:color w:val="333333"/>
          <w:spacing w:val="0"/>
          <w:kern w:val="0"/>
          <w:sz w:val="20"/>
          <w:szCs w:val="20"/>
          <w:bdr w:val="none" w:color="auto" w:sz="0" w:space="0"/>
          <w:shd w:val="clear" w:fill="FFFFFF"/>
          <w:vertAlign w:val="baseline"/>
          <w:lang w:val="en-US" w:eastAsia="zh-CN" w:bidi="ar"/>
        </w:rPr>
        <w:t>5.同等学力考生还需提交大专毕业证书原件及复印件和5门以上与所报考专业相关的本科专业课程成绩证明（由校级教务部门出具）；</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0" w:lineRule="atLeast"/>
        <w:ind w:left="0" w:right="0" w:firstLine="370"/>
        <w:jc w:val="left"/>
        <w:textAlignment w:val="baseline"/>
        <w:rPr>
          <w:b w:val="0"/>
        </w:rPr>
      </w:pPr>
      <w:r>
        <w:rPr>
          <w:rFonts w:hint="eastAsia" w:ascii="宋体" w:hAnsi="宋体" w:eastAsia="宋体" w:cs="宋体"/>
          <w:b w:val="0"/>
          <w:i w:val="0"/>
          <w:caps w:val="0"/>
          <w:color w:val="333333"/>
          <w:spacing w:val="0"/>
          <w:kern w:val="0"/>
          <w:sz w:val="20"/>
          <w:szCs w:val="20"/>
          <w:bdr w:val="none" w:color="auto" w:sz="0" w:space="0"/>
          <w:shd w:val="clear" w:fill="FFFFFF"/>
          <w:vertAlign w:val="baseline"/>
          <w:lang w:val="en-US" w:eastAsia="zh-CN" w:bidi="ar"/>
        </w:rPr>
        <w:t>6.在读自学考试和网络教育本科生，录取当年入学前（具体时间以我校当年入学报到时间为准，下同）必须取得国家承认的本科毕业证书，否则录取资格无效；</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0" w:lineRule="atLeast"/>
        <w:ind w:left="0" w:right="0" w:firstLine="370"/>
        <w:jc w:val="left"/>
        <w:textAlignment w:val="baseline"/>
        <w:rPr>
          <w:b w:val="0"/>
        </w:rPr>
      </w:pPr>
      <w:r>
        <w:rPr>
          <w:rFonts w:hint="eastAsia" w:ascii="宋体" w:hAnsi="宋体" w:eastAsia="宋体" w:cs="宋体"/>
          <w:b w:val="0"/>
          <w:i w:val="0"/>
          <w:caps w:val="0"/>
          <w:color w:val="333333"/>
          <w:spacing w:val="0"/>
          <w:kern w:val="0"/>
          <w:sz w:val="20"/>
          <w:szCs w:val="20"/>
          <w:bdr w:val="none" w:color="auto" w:sz="0" w:space="0"/>
          <w:shd w:val="clear" w:fill="FFFFFF"/>
          <w:vertAlign w:val="baseline"/>
          <w:lang w:val="en-US" w:eastAsia="zh-CN" w:bidi="ar"/>
        </w:rPr>
        <w:t>7.有关学历认证报告，即教育部学历证书电子注册备案表、或中国高等教育学历认证报告、或教育部留学服务中心提供的境外学历认证报告，有效期应不少于6个月。</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0" w:lineRule="atLeast"/>
        <w:ind w:left="0" w:right="0" w:firstLine="370"/>
        <w:jc w:val="left"/>
        <w:textAlignment w:val="baseline"/>
        <w:rPr>
          <w:b w:val="0"/>
        </w:rPr>
      </w:pPr>
      <w:r>
        <w:rPr>
          <w:rFonts w:hint="eastAsia" w:ascii="宋体" w:hAnsi="宋体" w:eastAsia="宋体" w:cs="宋体"/>
          <w:b w:val="0"/>
          <w:i w:val="0"/>
          <w:caps w:val="0"/>
          <w:color w:val="333333"/>
          <w:spacing w:val="0"/>
          <w:kern w:val="0"/>
          <w:sz w:val="20"/>
          <w:szCs w:val="20"/>
          <w:bdr w:val="none" w:color="auto" w:sz="0" w:space="0"/>
          <w:shd w:val="clear" w:fill="FFFFFF"/>
          <w:vertAlign w:val="baseline"/>
          <w:lang w:val="en-US" w:eastAsia="zh-CN" w:bidi="ar"/>
        </w:rPr>
        <w:t>（1）考生可登录中国高等教育学生信息网（学信网）（http://www.chsi.com.cn/）进行在线学历验证，下载并打印“教育部学历证书电子注册备案表”。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0" w:lineRule="atLeast"/>
        <w:ind w:left="0" w:right="0" w:firstLine="370"/>
        <w:jc w:val="left"/>
        <w:textAlignment w:val="baseline"/>
        <w:rPr>
          <w:b w:val="0"/>
        </w:rPr>
      </w:pPr>
      <w:r>
        <w:rPr>
          <w:rFonts w:hint="eastAsia" w:ascii="宋体" w:hAnsi="宋体" w:eastAsia="宋体" w:cs="宋体"/>
          <w:b w:val="0"/>
          <w:i w:val="0"/>
          <w:caps w:val="0"/>
          <w:color w:val="333333"/>
          <w:spacing w:val="0"/>
          <w:kern w:val="0"/>
          <w:sz w:val="20"/>
          <w:szCs w:val="20"/>
          <w:bdr w:val="none" w:color="auto" w:sz="0" w:space="0"/>
          <w:shd w:val="clear" w:fill="FFFFFF"/>
          <w:vertAlign w:val="baseline"/>
          <w:lang w:val="en-US" w:eastAsia="zh-CN" w:bidi="ar"/>
        </w:rPr>
        <w:t>（2）无法进行在线学历验证的考生，可向相关学历认证机构申请学历认证，获取“中国高等教育学历认证报告”。如果资格审查时，学历认证报告还在办理中，须提供申请办理时认证机构出具的收费凭据原件及复印件，并提供本人签字的承诺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0" w:lineRule="atLeast"/>
        <w:ind w:left="0" w:right="0" w:firstLine="370"/>
        <w:jc w:val="left"/>
        <w:textAlignment w:val="baseline"/>
        <w:rPr>
          <w:b w:val="0"/>
        </w:rPr>
      </w:pPr>
      <w:r>
        <w:rPr>
          <w:rFonts w:hint="eastAsia" w:ascii="宋体" w:hAnsi="宋体" w:eastAsia="宋体" w:cs="宋体"/>
          <w:b w:val="0"/>
          <w:i w:val="0"/>
          <w:caps w:val="0"/>
          <w:color w:val="333333"/>
          <w:spacing w:val="0"/>
          <w:kern w:val="0"/>
          <w:sz w:val="20"/>
          <w:szCs w:val="20"/>
          <w:bdr w:val="none" w:color="auto" w:sz="0" w:space="0"/>
          <w:shd w:val="clear" w:fill="FFFFFF"/>
          <w:vertAlign w:val="baseline"/>
          <w:lang w:val="en-US" w:eastAsia="zh-CN" w:bidi="ar"/>
        </w:rPr>
        <w:t>（3）境外学历者，提供教育部留学服务中心学历认证报告。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0" w:lineRule="atLeast"/>
        <w:ind w:left="0" w:right="0" w:firstLine="370"/>
        <w:jc w:val="left"/>
        <w:textAlignment w:val="baseline"/>
        <w:rPr>
          <w:b w:val="0"/>
        </w:rPr>
      </w:pPr>
      <w:r>
        <w:rPr>
          <w:rFonts w:hint="eastAsia" w:ascii="宋体" w:hAnsi="宋体" w:eastAsia="宋体" w:cs="宋体"/>
          <w:b w:val="0"/>
          <w:i w:val="0"/>
          <w:caps w:val="0"/>
          <w:color w:val="333333"/>
          <w:spacing w:val="0"/>
          <w:kern w:val="0"/>
          <w:sz w:val="20"/>
          <w:szCs w:val="20"/>
          <w:bdr w:val="none" w:color="auto" w:sz="0" w:space="0"/>
          <w:shd w:val="clear" w:fill="FFFFFF"/>
          <w:vertAlign w:val="baseline"/>
          <w:lang w:val="en-US" w:eastAsia="zh-CN" w:bidi="ar"/>
        </w:rPr>
        <w:t>8. 身体素质考核</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0" w:lineRule="atLeast"/>
        <w:ind w:left="0" w:right="0" w:firstLine="370"/>
        <w:jc w:val="left"/>
        <w:textAlignment w:val="baseline"/>
        <w:rPr>
          <w:b w:val="0"/>
        </w:rPr>
      </w:pPr>
      <w:r>
        <w:rPr>
          <w:rFonts w:hint="eastAsia" w:ascii="宋体" w:hAnsi="宋体" w:eastAsia="宋体" w:cs="宋体"/>
          <w:b w:val="0"/>
          <w:i w:val="0"/>
          <w:caps w:val="0"/>
          <w:color w:val="333333"/>
          <w:spacing w:val="0"/>
          <w:kern w:val="0"/>
          <w:sz w:val="20"/>
          <w:szCs w:val="20"/>
          <w:bdr w:val="none" w:color="auto" w:sz="0" w:space="0"/>
          <w:shd w:val="clear" w:fill="FFFFFF"/>
          <w:vertAlign w:val="baseline"/>
          <w:lang w:val="en-US" w:eastAsia="zh-CN" w:bidi="ar"/>
        </w:rPr>
        <w:t>今年复试期间暂不进行体检，考生需提交近半年内二甲以上医院的体检报告，考生入学后还需统一进行体检，体检不合格者将取消学籍。研究生复试体检项目可参考《关于印发&lt;普通高等学校招生体检工作指导意见&gt;的通知》(教学﹝2003﹞3号)的要求：包括身高、 体重 、视力、辨色力、五官科、血压、内科、外科、谷丙转氨酶（ALT）、胸部DR等。</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0" w:lineRule="atLeast"/>
        <w:ind w:left="0" w:right="0" w:firstLine="370"/>
        <w:jc w:val="left"/>
        <w:textAlignment w:val="baseline"/>
        <w:rPr>
          <w:b w:val="0"/>
        </w:rPr>
      </w:pPr>
      <w:r>
        <w:rPr>
          <w:rFonts w:hint="eastAsia" w:ascii="宋体" w:hAnsi="宋体" w:eastAsia="宋体" w:cs="宋体"/>
          <w:b w:val="0"/>
          <w:i w:val="0"/>
          <w:caps w:val="0"/>
          <w:color w:val="333333"/>
          <w:spacing w:val="0"/>
          <w:kern w:val="0"/>
          <w:sz w:val="20"/>
          <w:szCs w:val="20"/>
          <w:bdr w:val="none" w:color="auto" w:sz="0" w:space="0"/>
          <w:shd w:val="clear" w:fill="FFFFFF"/>
          <w:vertAlign w:val="baseline"/>
          <w:lang w:val="en-US" w:eastAsia="zh-CN" w:bidi="ar"/>
        </w:rPr>
        <w:t>9. 凡未进行资格审查或资格审查未通过的考生一律不予复试。若发现有替考的或所提供资料造假的考生，取消其复试资格，并追究相关责任。</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0" w:lineRule="atLeast"/>
        <w:ind w:left="0" w:right="0"/>
        <w:jc w:val="left"/>
        <w:textAlignment w:val="baseline"/>
        <w:rPr>
          <w:b w:val="0"/>
        </w:rPr>
      </w:pPr>
      <w:r>
        <w:rPr>
          <w:rStyle w:val="4"/>
          <w:rFonts w:hint="eastAsia" w:ascii="宋体" w:hAnsi="宋体" w:eastAsia="宋体" w:cs="宋体"/>
          <w:b w:val="0"/>
          <w:i w:val="0"/>
          <w:caps w:val="0"/>
          <w:color w:val="333333"/>
          <w:spacing w:val="0"/>
          <w:kern w:val="0"/>
          <w:sz w:val="20"/>
          <w:szCs w:val="20"/>
          <w:bdr w:val="none" w:color="auto" w:sz="0" w:space="0"/>
          <w:shd w:val="clear" w:fill="FFFFFF"/>
          <w:vertAlign w:val="baseline"/>
          <w:lang w:val="en-US" w:eastAsia="zh-CN" w:bidi="ar"/>
        </w:rPr>
        <w:t>五、复试形式及注意事项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0" w:lineRule="atLeast"/>
        <w:ind w:left="0" w:right="0" w:firstLine="390"/>
        <w:jc w:val="left"/>
        <w:textAlignment w:val="baseline"/>
        <w:rPr>
          <w:b w:val="0"/>
        </w:rPr>
      </w:pPr>
      <w:r>
        <w:rPr>
          <w:rStyle w:val="4"/>
          <w:rFonts w:hint="eastAsia" w:ascii="宋体" w:hAnsi="宋体" w:eastAsia="宋体" w:cs="宋体"/>
          <w:b w:val="0"/>
          <w:i w:val="0"/>
          <w:caps w:val="0"/>
          <w:color w:val="333333"/>
          <w:spacing w:val="0"/>
          <w:kern w:val="0"/>
          <w:sz w:val="20"/>
          <w:szCs w:val="20"/>
          <w:bdr w:val="none" w:color="auto" w:sz="0" w:space="0"/>
          <w:shd w:val="clear" w:fill="FFFFFF"/>
          <w:vertAlign w:val="baseline"/>
          <w:lang w:val="en-US" w:eastAsia="zh-CN" w:bidi="ar"/>
        </w:rPr>
        <w:t>1.</w:t>
      </w:r>
      <w:r>
        <w:rPr>
          <w:rFonts w:hint="eastAsia" w:ascii="宋体" w:hAnsi="宋体" w:eastAsia="宋体" w:cs="宋体"/>
          <w:b w:val="0"/>
          <w:i w:val="0"/>
          <w:caps w:val="0"/>
          <w:color w:val="333333"/>
          <w:spacing w:val="0"/>
          <w:kern w:val="0"/>
          <w:sz w:val="20"/>
          <w:szCs w:val="20"/>
          <w:bdr w:val="none" w:color="auto" w:sz="0" w:space="0"/>
          <w:shd w:val="clear" w:fill="FFFFFF"/>
          <w:vertAlign w:val="baseline"/>
          <w:lang w:val="en-US" w:eastAsia="zh-CN" w:bidi="ar"/>
        </w:rPr>
        <w:t> </w:t>
      </w:r>
      <w:r>
        <w:rPr>
          <w:rStyle w:val="4"/>
          <w:rFonts w:hint="eastAsia" w:ascii="宋体" w:hAnsi="宋体" w:eastAsia="宋体" w:cs="宋体"/>
          <w:b w:val="0"/>
          <w:i w:val="0"/>
          <w:caps w:val="0"/>
          <w:color w:val="333333"/>
          <w:spacing w:val="0"/>
          <w:kern w:val="0"/>
          <w:sz w:val="20"/>
          <w:szCs w:val="20"/>
          <w:bdr w:val="none" w:color="auto" w:sz="0" w:space="0"/>
          <w:shd w:val="clear" w:fill="FFFFFF"/>
          <w:vertAlign w:val="baseline"/>
          <w:lang w:val="en-US" w:eastAsia="zh-CN" w:bidi="ar"/>
        </w:rPr>
        <w:t>我院今年采用网络远程视频方式复试，也就是复试小组成员在现场集中，而考生在各自的远程视频端。网络远程复试平台须选用统一的软件平台，优先使用教育部学信网提供的远程面试系统，腾讯会议作为备用远程面试系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0" w:lineRule="atLeast"/>
        <w:ind w:left="0" w:right="0" w:firstLine="390"/>
        <w:jc w:val="left"/>
        <w:textAlignment w:val="baseline"/>
        <w:rPr>
          <w:b w:val="0"/>
        </w:rPr>
      </w:pPr>
      <w:r>
        <w:rPr>
          <w:rStyle w:val="4"/>
          <w:rFonts w:hint="eastAsia" w:ascii="宋体" w:hAnsi="宋体" w:eastAsia="宋体" w:cs="宋体"/>
          <w:b w:val="0"/>
          <w:i w:val="0"/>
          <w:caps w:val="0"/>
          <w:color w:val="333333"/>
          <w:spacing w:val="0"/>
          <w:kern w:val="0"/>
          <w:sz w:val="20"/>
          <w:szCs w:val="20"/>
          <w:bdr w:val="none" w:color="auto" w:sz="0" w:space="0"/>
          <w:shd w:val="clear" w:fill="FFFFFF"/>
          <w:vertAlign w:val="baseline"/>
          <w:lang w:val="en-US" w:eastAsia="zh-CN" w:bidi="ar"/>
        </w:rPr>
        <w:t>2.注意事项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0" w:lineRule="atLeast"/>
        <w:ind w:left="0" w:right="0" w:firstLine="370"/>
        <w:jc w:val="left"/>
        <w:textAlignment w:val="baseline"/>
        <w:rPr>
          <w:b w:val="0"/>
        </w:rPr>
      </w:pPr>
      <w:r>
        <w:rPr>
          <w:rFonts w:hint="eastAsia" w:ascii="宋体" w:hAnsi="宋体" w:eastAsia="宋体" w:cs="宋体"/>
          <w:b w:val="0"/>
          <w:i w:val="0"/>
          <w:caps w:val="0"/>
          <w:color w:val="333333"/>
          <w:spacing w:val="0"/>
          <w:kern w:val="0"/>
          <w:sz w:val="20"/>
          <w:szCs w:val="20"/>
          <w:bdr w:val="none" w:color="auto" w:sz="0" w:space="0"/>
          <w:shd w:val="clear" w:fill="FFFFFF"/>
          <w:vertAlign w:val="baseline"/>
          <w:lang w:val="en-US" w:eastAsia="zh-CN" w:bidi="ar"/>
        </w:rPr>
        <w:t>（1）复试过程要签署诚信考试承诺。考生开始复试前必须签署《考生诚信考试承诺书》。复试过程中禁止录音、录像和录屏，禁止将相关信息泄露或公布。</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0" w:lineRule="atLeast"/>
        <w:ind w:left="0" w:right="0" w:firstLine="370"/>
        <w:jc w:val="left"/>
        <w:textAlignment w:val="baseline"/>
        <w:rPr>
          <w:b w:val="0"/>
        </w:rPr>
      </w:pPr>
      <w:r>
        <w:rPr>
          <w:rFonts w:hint="eastAsia" w:ascii="宋体" w:hAnsi="宋体" w:eastAsia="宋体" w:cs="宋体"/>
          <w:b w:val="0"/>
          <w:i w:val="0"/>
          <w:caps w:val="0"/>
          <w:color w:val="333333"/>
          <w:spacing w:val="0"/>
          <w:kern w:val="0"/>
          <w:sz w:val="20"/>
          <w:szCs w:val="20"/>
          <w:bdr w:val="none" w:color="auto" w:sz="0" w:space="0"/>
          <w:shd w:val="clear" w:fill="FFFFFF"/>
          <w:vertAlign w:val="baseline"/>
          <w:lang w:val="en-US" w:eastAsia="zh-CN" w:bidi="ar"/>
        </w:rPr>
        <w:t>根据《中华人民共和国刑法修正案（九）》中规定在相关国家考试中，组织作弊的行为；为他人实施组织作弊提供作弊器材或者其他帮助的行为；为实施考试作弊行为，向他人非法出售或者提供考试的试题、答案的行为；代替他人或者让他人代替自己参加考试的行为都将触犯刑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0" w:lineRule="atLeast"/>
        <w:ind w:left="0" w:right="0" w:firstLine="370"/>
        <w:jc w:val="left"/>
        <w:textAlignment w:val="baseline"/>
        <w:rPr>
          <w:b w:val="0"/>
        </w:rPr>
      </w:pPr>
      <w:r>
        <w:rPr>
          <w:rFonts w:hint="eastAsia" w:ascii="宋体" w:hAnsi="宋体" w:eastAsia="宋体" w:cs="宋体"/>
          <w:b w:val="0"/>
          <w:i w:val="0"/>
          <w:caps w:val="0"/>
          <w:color w:val="333333"/>
          <w:spacing w:val="0"/>
          <w:kern w:val="0"/>
          <w:sz w:val="20"/>
          <w:szCs w:val="20"/>
          <w:bdr w:val="none" w:color="auto" w:sz="0" w:space="0"/>
          <w:shd w:val="clear" w:fill="FFFFFF"/>
          <w:vertAlign w:val="baseline"/>
          <w:lang w:val="en-US" w:eastAsia="zh-CN" w:bidi="ar"/>
        </w:rPr>
        <w:t>（2）本次复试实行“一平台，三随机”工作机制。即统一考试平台，随机确定考生复试次序，随机确定导师组组成人员，随机抽取复试试题。</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0" w:lineRule="atLeast"/>
        <w:ind w:left="0" w:right="0" w:firstLine="370"/>
        <w:jc w:val="left"/>
        <w:textAlignment w:val="baseline"/>
        <w:rPr>
          <w:b w:val="0"/>
        </w:rPr>
      </w:pPr>
      <w:r>
        <w:rPr>
          <w:rFonts w:hint="eastAsia" w:ascii="宋体" w:hAnsi="宋体" w:eastAsia="宋体" w:cs="宋体"/>
          <w:b w:val="0"/>
          <w:i w:val="0"/>
          <w:caps w:val="0"/>
          <w:color w:val="333333"/>
          <w:spacing w:val="0"/>
          <w:kern w:val="0"/>
          <w:sz w:val="20"/>
          <w:szCs w:val="20"/>
          <w:bdr w:val="none" w:color="auto" w:sz="0" w:space="0"/>
          <w:shd w:val="clear" w:fill="FFFFFF"/>
          <w:vertAlign w:val="baseline"/>
          <w:lang w:val="en-US" w:eastAsia="zh-CN" w:bidi="ar"/>
        </w:rPr>
        <w:t>（3）审核过程采用“二识别，四比对”原则。即做到“人脸识别”“人证识别”，并通过综合比对“报考库”“学籍学历库”“人口信息库”“考生考试诚信档案库”，加强考生身份的审查核验。</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0" w:lineRule="atLeast"/>
        <w:ind w:left="0" w:right="0"/>
        <w:jc w:val="left"/>
        <w:textAlignment w:val="baseline"/>
        <w:rPr>
          <w:b w:val="0"/>
        </w:rPr>
      </w:pPr>
      <w:r>
        <w:rPr>
          <w:rStyle w:val="4"/>
          <w:rFonts w:hint="eastAsia" w:ascii="宋体" w:hAnsi="宋体" w:eastAsia="宋体" w:cs="宋体"/>
          <w:b w:val="0"/>
          <w:i w:val="0"/>
          <w:caps w:val="0"/>
          <w:color w:val="333333"/>
          <w:spacing w:val="0"/>
          <w:kern w:val="0"/>
          <w:sz w:val="20"/>
          <w:szCs w:val="20"/>
          <w:bdr w:val="none" w:color="auto" w:sz="0" w:space="0"/>
          <w:shd w:val="clear" w:fill="FFFFFF"/>
          <w:vertAlign w:val="baseline"/>
          <w:lang w:val="en-US" w:eastAsia="zh-CN" w:bidi="ar"/>
        </w:rPr>
        <w:t>六、调剂志愿填报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370"/>
        <w:jc w:val="left"/>
        <w:textAlignment w:val="baseline"/>
        <w:rPr>
          <w:b w:val="0"/>
        </w:rPr>
      </w:pPr>
      <w:r>
        <w:rPr>
          <w:rFonts w:hint="eastAsia" w:ascii="宋体" w:hAnsi="宋体" w:eastAsia="宋体" w:cs="宋体"/>
          <w:b w:val="0"/>
          <w:i w:val="0"/>
          <w:caps w:val="0"/>
          <w:color w:val="333333"/>
          <w:spacing w:val="0"/>
          <w:kern w:val="0"/>
          <w:sz w:val="20"/>
          <w:szCs w:val="20"/>
          <w:bdr w:val="none" w:color="auto" w:sz="0" w:space="0"/>
          <w:vertAlign w:val="baseline"/>
          <w:lang w:val="en-US" w:eastAsia="zh-CN" w:bidi="ar"/>
        </w:rPr>
        <w:t>全国硕士生招生调剂服务系统将于4月6日开通，学院根据实际情况开展一次或若干批次调剂复试工作。</w:t>
      </w:r>
      <w:r>
        <w:rPr>
          <w:rStyle w:val="4"/>
          <w:rFonts w:hint="eastAsia" w:ascii="宋体" w:hAnsi="宋体" w:eastAsia="宋体" w:cs="宋体"/>
          <w:b w:val="0"/>
          <w:i w:val="0"/>
          <w:caps w:val="0"/>
          <w:color w:val="333333"/>
          <w:spacing w:val="0"/>
          <w:kern w:val="0"/>
          <w:sz w:val="20"/>
          <w:szCs w:val="20"/>
          <w:bdr w:val="none" w:color="auto" w:sz="0" w:space="0"/>
          <w:vertAlign w:val="baseline"/>
          <w:lang w:val="en-US" w:eastAsia="zh-CN" w:bidi="ar"/>
        </w:rPr>
        <w:t>每次开放调剂系统持续时间不短于12个小时,不长于36个小时。报考我校的调剂生调剂志愿锁定时间为12小时（锁定期间考生无法填报新的志愿，请慎重填报）。锁定时间到达后，如学院未明确受理意见，则锁定解除，考生可继续填报其他志愿。学院对同一批次符合调剂要求且申请同一专业同一研究方向、全国统一命题科目完全相同的调剂考生，按考生初试成绩高低确定进入复试的考生名单，不以考生提交调剂志愿的时间先后顺序等非学业水平标准作为遴选依据。</w:t>
      </w:r>
      <w:r>
        <w:rPr>
          <w:rFonts w:hint="eastAsia" w:ascii="宋体" w:hAnsi="宋体" w:eastAsia="宋体" w:cs="宋体"/>
          <w:b w:val="0"/>
          <w:i w:val="0"/>
          <w:caps w:val="0"/>
          <w:color w:val="333333"/>
          <w:spacing w:val="0"/>
          <w:kern w:val="0"/>
          <w:sz w:val="20"/>
          <w:szCs w:val="20"/>
          <w:bdr w:val="none" w:color="auto" w:sz="0" w:space="0"/>
          <w:vertAlign w:val="baseline"/>
          <w:lang w:val="en-US" w:eastAsia="zh-CN" w:bidi="ar"/>
        </w:rPr>
        <w:t>所有调剂生的复试工作一般于4月25日前结束。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50" w:lineRule="atLeast"/>
        <w:ind w:left="0" w:right="0" w:firstLine="370"/>
        <w:jc w:val="left"/>
        <w:textAlignment w:val="baseline"/>
        <w:rPr>
          <w:b w:val="0"/>
        </w:rPr>
      </w:pPr>
      <w:r>
        <w:rPr>
          <w:rFonts w:hint="eastAsia" w:ascii="宋体" w:hAnsi="宋体" w:eastAsia="宋体" w:cs="宋体"/>
          <w:b w:val="0"/>
          <w:i w:val="0"/>
          <w:caps w:val="0"/>
          <w:color w:val="333333"/>
          <w:spacing w:val="0"/>
          <w:kern w:val="0"/>
          <w:sz w:val="20"/>
          <w:szCs w:val="20"/>
          <w:bdr w:val="none" w:color="auto" w:sz="0" w:space="0"/>
          <w:shd w:val="clear" w:fill="FFFFFF"/>
          <w:vertAlign w:val="baseline"/>
          <w:lang w:val="en-US" w:eastAsia="zh-CN" w:bidi="ar"/>
        </w:rPr>
        <w:t>1.调剂基本条件按照教育部《2023年全国硕士研究生招生工作管理规定》中有关要求执行。</w:t>
      </w:r>
      <w:r>
        <w:rPr>
          <w:rStyle w:val="4"/>
          <w:rFonts w:hint="eastAsia" w:ascii="宋体" w:hAnsi="宋体" w:eastAsia="宋体" w:cs="宋体"/>
          <w:b w:val="0"/>
          <w:i w:val="0"/>
          <w:caps w:val="0"/>
          <w:color w:val="333333"/>
          <w:spacing w:val="0"/>
          <w:kern w:val="0"/>
          <w:sz w:val="20"/>
          <w:szCs w:val="20"/>
          <w:bdr w:val="none" w:color="auto" w:sz="0" w:space="0"/>
          <w:shd w:val="clear" w:fill="FFFFFF"/>
          <w:vertAlign w:val="baseline"/>
          <w:lang w:val="en-US" w:eastAsia="zh-CN" w:bidi="ar"/>
        </w:rPr>
        <w:t>我院调剂调入专业与第一志愿报考专业必须相同或相近，且只在同一学科门类范围内调剂。初试考试科目与调入专业初试考试科目必须相同或相近，其中初试全国统一命题科目应与调入专业全国统一命题科目相同。</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50" w:lineRule="atLeast"/>
        <w:ind w:left="0" w:right="0" w:firstLine="370"/>
        <w:jc w:val="left"/>
        <w:textAlignment w:val="baseline"/>
        <w:rPr>
          <w:b w:val="0"/>
        </w:rPr>
      </w:pPr>
      <w:r>
        <w:rPr>
          <w:rFonts w:hint="eastAsia" w:ascii="宋体" w:hAnsi="宋体" w:eastAsia="宋体" w:cs="宋体"/>
          <w:b w:val="0"/>
          <w:i w:val="0"/>
          <w:caps w:val="0"/>
          <w:color w:val="333333"/>
          <w:spacing w:val="0"/>
          <w:kern w:val="0"/>
          <w:sz w:val="20"/>
          <w:szCs w:val="20"/>
          <w:bdr w:val="none" w:color="auto" w:sz="0" w:space="0"/>
          <w:shd w:val="clear" w:fill="FFFFFF"/>
          <w:vertAlign w:val="baseline"/>
          <w:lang w:val="en-US" w:eastAsia="zh-CN" w:bidi="ar"/>
        </w:rPr>
        <w:t>2.专业学习方式变更（即全日制考生转非全日制录取或非全日制考生转全日制录取）的考生，可按照调剂程序进行调剂申请。</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50" w:lineRule="atLeast"/>
        <w:ind w:left="0" w:right="0" w:firstLine="370"/>
        <w:jc w:val="left"/>
        <w:textAlignment w:val="baseline"/>
        <w:rPr>
          <w:b w:val="0"/>
        </w:rPr>
      </w:pPr>
      <w:r>
        <w:rPr>
          <w:rFonts w:hint="eastAsia" w:ascii="宋体" w:hAnsi="宋体" w:eastAsia="宋体" w:cs="宋体"/>
          <w:b w:val="0"/>
          <w:i w:val="0"/>
          <w:caps w:val="0"/>
          <w:color w:val="333333"/>
          <w:spacing w:val="0"/>
          <w:kern w:val="0"/>
          <w:sz w:val="20"/>
          <w:szCs w:val="20"/>
          <w:bdr w:val="none" w:color="auto" w:sz="0" w:space="0"/>
          <w:shd w:val="clear" w:fill="FFFFFF"/>
          <w:vertAlign w:val="baseline"/>
          <w:lang w:val="en-US" w:eastAsia="zh-CN" w:bidi="ar"/>
        </w:rPr>
        <w:t>3.调剂考生须登陆“全国硕士生招生调剂服务系统”，填报调剂志愿明确选择研究方向，经学院审核通过后，通知调剂考生复试。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50" w:lineRule="atLeast"/>
        <w:ind w:left="0" w:right="0" w:firstLine="370"/>
        <w:jc w:val="left"/>
        <w:textAlignment w:val="baseline"/>
        <w:rPr>
          <w:b w:val="0"/>
        </w:rPr>
      </w:pPr>
      <w:r>
        <w:rPr>
          <w:rFonts w:hint="eastAsia" w:ascii="宋体" w:hAnsi="宋体" w:eastAsia="宋体" w:cs="宋体"/>
          <w:b w:val="0"/>
          <w:i w:val="0"/>
          <w:caps w:val="0"/>
          <w:color w:val="333333"/>
          <w:spacing w:val="0"/>
          <w:kern w:val="0"/>
          <w:sz w:val="20"/>
          <w:szCs w:val="20"/>
          <w:bdr w:val="none" w:color="auto" w:sz="0" w:space="0"/>
          <w:shd w:val="clear" w:fill="FFFFFF"/>
          <w:vertAlign w:val="baseline"/>
          <w:lang w:val="en-US" w:eastAsia="zh-CN" w:bidi="ar"/>
        </w:rPr>
        <w:t>4.学院在调剂生复试前公示调剂名单，调剂生接到复试通知后，应在指定的日期根据安排参加复试各项工作。具体安排以学院官网（http://jtxy.fafu.edu.cn/）发布信息为准。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50" w:lineRule="atLeast"/>
        <w:ind w:left="0" w:right="0" w:firstLine="370"/>
        <w:jc w:val="left"/>
        <w:textAlignment w:val="baseline"/>
        <w:rPr>
          <w:b w:val="0"/>
        </w:rPr>
      </w:pPr>
      <w:r>
        <w:rPr>
          <w:rFonts w:hint="eastAsia" w:ascii="宋体" w:hAnsi="宋体" w:eastAsia="宋体" w:cs="宋体"/>
          <w:b w:val="0"/>
          <w:i w:val="0"/>
          <w:caps w:val="0"/>
          <w:color w:val="333333"/>
          <w:spacing w:val="0"/>
          <w:kern w:val="0"/>
          <w:sz w:val="20"/>
          <w:szCs w:val="20"/>
          <w:bdr w:val="none" w:color="auto" w:sz="0" w:space="0"/>
          <w:shd w:val="clear" w:fill="FFFFFF"/>
          <w:vertAlign w:val="baseline"/>
          <w:lang w:val="en-US" w:eastAsia="zh-CN" w:bidi="ar"/>
        </w:rPr>
        <w:t>5.未按照要求在规定时间内确认“复试通知”和“待录取通知”的考生，学院将在确认时间截止后取消相应资格。</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F5504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Strong"/>
    <w:basedOn w:val="3"/>
    <w:qFormat/>
    <w:uiPriority w:val="0"/>
    <w:rPr>
      <w:b/>
    </w:rPr>
  </w:style>
  <w:style w:type="character" w:styleId="5">
    <w:name w:val="Hyperlink"/>
    <w:basedOn w:val="3"/>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2023-05-14T07:00:08Z</dcterms:created>
  <dc:creator>86188</dc:creator>
  <cp:lastModifiedBy>随风而动</cp:lastModifiedBy>
  <dcterms:modified xsi:type="dcterms:W3CDTF">2023-05-14T07:00:14Z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